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5D7A24">
        <w:rPr>
          <w:rFonts w:cs="Tahoma"/>
          <w:b/>
          <w:u w:val="single"/>
        </w:rPr>
        <w:t>C</w:t>
      </w:r>
      <w:bookmarkStart w:id="0" w:name="_GoBack"/>
      <w:bookmarkEnd w:id="0"/>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D30E29" w:rsidRPr="00774A4F" w:rsidRDefault="00411768" w:rsidP="00D30E29">
      <w:pPr>
        <w:jc w:val="both"/>
        <w:rPr>
          <w:rFonts w:cstheme="minorHAnsi"/>
          <w:snapToGrid w:val="0"/>
          <w:color w:val="000000"/>
        </w:rPr>
      </w:pPr>
      <w:r w:rsidRPr="008E5F13">
        <w:rPr>
          <w:rFonts w:cs="Calibri"/>
          <w:snapToGrid w:val="0"/>
          <w:color w:val="000000"/>
        </w:rPr>
        <w:t xml:space="preserve">PROCEDURA APERTA EX ART. 60 D.Lgs. n. 50/16 e s.m.i. per l’affidamento </w:t>
      </w:r>
      <w:r w:rsidR="00D30E29" w:rsidRPr="00774A4F">
        <w:rPr>
          <w:rFonts w:cstheme="minorHAnsi"/>
          <w:snapToGrid w:val="0"/>
          <w:color w:val="000000"/>
        </w:rPr>
        <w:t>dei lavori di difese spondali e ricalibratura del fiume Po dal comune do Paesana al comune di Moncalieri- 2° stralcio: I LOTTO Intervento in sponda destra Po in comune di Moncalieri, zona</w:t>
      </w:r>
      <w:r w:rsidR="00D30E29">
        <w:rPr>
          <w:rFonts w:cstheme="minorHAnsi"/>
          <w:snapToGrid w:val="0"/>
          <w:color w:val="000000"/>
        </w:rPr>
        <w:t xml:space="preserve"> Lungo Po Abellonio (TO-E-1294), </w:t>
      </w:r>
      <w:r w:rsidR="00D30E29" w:rsidRPr="00774A4F">
        <w:rPr>
          <w:rFonts w:eastAsia="Calibri" w:cs="Calibri"/>
        </w:rPr>
        <w:t>con il criterio dell’offerta economicamente più vantaggiosa sulla base del miglior rapporto qualità/prezzo.</w:t>
      </w:r>
    </w:p>
    <w:p w:rsidR="00D30E29" w:rsidRPr="00774A4F" w:rsidRDefault="00D30E29" w:rsidP="00D30E29">
      <w:pPr>
        <w:rPr>
          <w:rFonts w:cstheme="minorHAnsi"/>
          <w:b/>
          <w:snapToGrid w:val="0"/>
          <w:color w:val="000000"/>
        </w:rPr>
      </w:pPr>
      <w:r w:rsidRPr="00774A4F">
        <w:rPr>
          <w:rFonts w:cstheme="minorHAnsi"/>
          <w:b/>
          <w:snapToGrid w:val="0"/>
          <w:color w:val="000000"/>
        </w:rPr>
        <w:t>CUP B25B19000100004</w:t>
      </w:r>
      <w:r>
        <w:rPr>
          <w:rFonts w:cstheme="minorHAnsi"/>
          <w:b/>
          <w:snapToGrid w:val="0"/>
          <w:color w:val="000000"/>
        </w:rPr>
        <w:t xml:space="preserve">         </w:t>
      </w:r>
      <w:r w:rsidRPr="00774A4F">
        <w:rPr>
          <w:rFonts w:cstheme="minorHAnsi"/>
          <w:b/>
          <w:snapToGrid w:val="0"/>
          <w:color w:val="000000"/>
        </w:rPr>
        <w:t xml:space="preserve"> CIG 80864150C3</w:t>
      </w:r>
    </w:p>
    <w:p w:rsidR="00BD31C5" w:rsidRPr="00655C58" w:rsidRDefault="00BD31C5" w:rsidP="00D30E29">
      <w:pPr>
        <w:widowControl w:val="0"/>
        <w:spacing w:before="60" w:after="60" w:line="240" w:lineRule="auto"/>
        <w:jc w:val="both"/>
        <w:rPr>
          <w:rFonts w:eastAsia="Calibri" w:cs="Calibri"/>
        </w:rPr>
      </w:pP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1. di mettere a disposizione del concorrente _________________________________ (operatore economico ausiliato) per tutta la durata dell’appalto le risorse e gli strumenti necessari per l’esecuzione dei servizi;</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w:t>
      </w:r>
      <w:r w:rsidRPr="008E5F13">
        <w:rPr>
          <w:rFonts w:ascii="Calibri" w:eastAsia="Calibri" w:hAnsi="Calibri" w:cs="Calibri"/>
        </w:rPr>
        <w:lastRenderedPageBreak/>
        <w:t xml:space="preserve">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D.Lgs.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r w:rsidR="008E5F13" w:rsidRPr="008E5F13">
        <w:rPr>
          <w:rFonts w:cs="Calibri"/>
          <w:b/>
          <w:lang w:val="it-IT"/>
        </w:rPr>
        <w:t>mod.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s.m.i.,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sottosez.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D.Lgs.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 xml:space="preserve">D.G.U.E. (Mod.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D.Lgs.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Mod.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E75C09">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5D7A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5D7A24" w:rsidP="0051057B">
    <w:pPr>
      <w:tabs>
        <w:tab w:val="center" w:pos="4819"/>
        <w:tab w:val="right" w:pos="9638"/>
      </w:tabs>
    </w:pPr>
  </w:p>
  <w:p w:rsidR="00383C65" w:rsidRPr="0051057B" w:rsidRDefault="005D7A24" w:rsidP="0051057B">
    <w:pPr>
      <w:tabs>
        <w:tab w:val="center" w:pos="4819"/>
        <w:tab w:val="right" w:pos="9638"/>
      </w:tabs>
    </w:pPr>
  </w:p>
  <w:p w:rsidR="00383C65" w:rsidRPr="0051057B" w:rsidRDefault="005D7A24" w:rsidP="0051057B">
    <w:pPr>
      <w:tabs>
        <w:tab w:val="center" w:pos="4819"/>
        <w:tab w:val="right" w:pos="9638"/>
      </w:tabs>
    </w:pPr>
  </w:p>
  <w:p w:rsidR="00383C65" w:rsidRPr="0051057B" w:rsidRDefault="005D7A24"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5D7A24">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601C"/>
    <w:rsid w:val="00333837"/>
    <w:rsid w:val="003C29BB"/>
    <w:rsid w:val="003F3D9C"/>
    <w:rsid w:val="00411768"/>
    <w:rsid w:val="00452BFD"/>
    <w:rsid w:val="0048261E"/>
    <w:rsid w:val="004A63BF"/>
    <w:rsid w:val="004C1C31"/>
    <w:rsid w:val="00595779"/>
    <w:rsid w:val="005D7A24"/>
    <w:rsid w:val="00655C58"/>
    <w:rsid w:val="006A1F91"/>
    <w:rsid w:val="008E5F13"/>
    <w:rsid w:val="00AE4B97"/>
    <w:rsid w:val="00B86709"/>
    <w:rsid w:val="00BD31C5"/>
    <w:rsid w:val="00C06545"/>
    <w:rsid w:val="00D24303"/>
    <w:rsid w:val="00D30E29"/>
    <w:rsid w:val="00E10866"/>
    <w:rsid w:val="00E708F7"/>
    <w:rsid w:val="00E75C09"/>
    <w:rsid w:val="00F25886"/>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4169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coppamaria</cp:lastModifiedBy>
  <cp:revision>8</cp:revision>
  <cp:lastPrinted>2019-12-16T14:27:00Z</cp:lastPrinted>
  <dcterms:created xsi:type="dcterms:W3CDTF">2019-11-25T15:25:00Z</dcterms:created>
  <dcterms:modified xsi:type="dcterms:W3CDTF">2019-12-18T12:16:00Z</dcterms:modified>
</cp:coreProperties>
</file>