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CF" w:rsidRDefault="00F91DCF" w:rsidP="00F91DCF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  <w:noProof/>
          <w:lang w:eastAsia="it-IT"/>
        </w:rPr>
        <w:drawing>
          <wp:anchor distT="0" distB="0" distL="0" distR="0" simplePos="0" relativeHeight="251660288" behindDoc="0" locked="0" layoutInCell="1" allowOverlap="1" wp14:anchorId="061B006F" wp14:editId="54EC5CFE">
            <wp:simplePos x="0" y="0"/>
            <wp:positionH relativeFrom="column">
              <wp:posOffset>1938020</wp:posOffset>
            </wp:positionH>
            <wp:positionV relativeFrom="paragraph">
              <wp:posOffset>-375920</wp:posOffset>
            </wp:positionV>
            <wp:extent cx="2419350" cy="624205"/>
            <wp:effectExtent l="0" t="0" r="0" b="4445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24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DCF" w:rsidRPr="00E00630" w:rsidRDefault="007863CB" w:rsidP="00E00630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-BoldMT" w:cs="TimesNewRomanPS-BoldMT"/>
          <w:b/>
          <w:bCs/>
          <w:caps/>
        </w:rPr>
      </w:pPr>
      <w:r>
        <w:rPr>
          <w:rFonts w:eastAsia="TimesNewRomanPS-BoldMT" w:cs="TimesNewRomanPS-BoldMT"/>
          <w:b/>
          <w:bCs/>
          <w:caps/>
        </w:rPr>
        <w:t>Allegato “</w:t>
      </w:r>
      <w:r w:rsidR="003B01F4">
        <w:rPr>
          <w:rFonts w:eastAsia="TimesNewRomanPS-BoldMT" w:cs="TimesNewRomanPS-BoldMT"/>
          <w:b/>
          <w:bCs/>
          <w:caps/>
        </w:rPr>
        <w:t>A</w:t>
      </w:r>
      <w:bookmarkStart w:id="0" w:name="_GoBack"/>
      <w:bookmarkEnd w:id="0"/>
      <w:r w:rsidR="00060B73">
        <w:rPr>
          <w:rFonts w:eastAsia="TimesNewRomanPS-BoldMT" w:cs="TimesNewRomanPS-BoldMT"/>
          <w:b/>
          <w:bCs/>
          <w:caps/>
        </w:rPr>
        <w:t>2</w:t>
      </w:r>
      <w:r w:rsidR="00E00630" w:rsidRPr="00E00630">
        <w:rPr>
          <w:rFonts w:eastAsia="TimesNewRomanPS-BoldMT" w:cs="TimesNewRomanPS-BoldMT"/>
          <w:b/>
          <w:bCs/>
          <w:caps/>
        </w:rPr>
        <w:t>”</w:t>
      </w:r>
    </w:p>
    <w:p w:rsidR="00F91DCF" w:rsidRDefault="00F91DCF" w:rsidP="00F91DCF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-BoldMT" w:cs="TimesNewRomanPS-BoldMT"/>
          <w:b/>
          <w:bCs/>
        </w:rPr>
      </w:pPr>
    </w:p>
    <w:p w:rsidR="00DB53C6" w:rsidRPr="00F91DCF" w:rsidRDefault="00DB53C6" w:rsidP="00F91DCF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-BoldMT" w:cs="TimesNewRomanPS-BoldMT"/>
          <w:b/>
          <w:bCs/>
        </w:rPr>
      </w:pPr>
      <w:r w:rsidRPr="00F91DCF">
        <w:rPr>
          <w:rFonts w:eastAsia="TimesNewRomanPS-BoldMT" w:cs="TimesNewRomanPS-BoldMT"/>
          <w:b/>
          <w:bCs/>
        </w:rPr>
        <w:t>DOCUMENTAZIONE TIPO DA ALLEGARE ALL’ISTANZA NECESSARIA</w:t>
      </w:r>
    </w:p>
    <w:p w:rsidR="00DB53C6" w:rsidRPr="00F91DCF" w:rsidRDefault="00DB53C6" w:rsidP="00F91DCF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-BoldMT" w:cs="TimesNewRomanPS-BoldMT"/>
          <w:b/>
          <w:bCs/>
        </w:rPr>
      </w:pPr>
      <w:r w:rsidRPr="00F91DCF">
        <w:rPr>
          <w:rFonts w:eastAsia="TimesNewRomanPS-BoldMT" w:cs="TimesNewRomanPS-BoldMT"/>
          <w:b/>
          <w:bCs/>
        </w:rPr>
        <w:t>PER IL RILASCIO DELL’AUTORIZZAZIONE AL SUBAPPALTO</w:t>
      </w:r>
    </w:p>
    <w:p w:rsidR="00DB53C6" w:rsidRDefault="00DB53C6" w:rsidP="00F91DCF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-BoldMT" w:cs="TimesNewRomanPS-BoldMT"/>
          <w:b/>
          <w:bCs/>
        </w:rPr>
      </w:pPr>
      <w:r w:rsidRPr="00F91DCF">
        <w:rPr>
          <w:rFonts w:eastAsia="TimesNewRomanPS-BoldMT" w:cs="TimesNewRomanPS-BoldMT"/>
          <w:b/>
          <w:bCs/>
        </w:rPr>
        <w:t>PER LAVORI</w:t>
      </w:r>
    </w:p>
    <w:p w:rsidR="00F91DCF" w:rsidRDefault="00F91DCF" w:rsidP="00F91DCF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-BoldMT" w:cs="TimesNewRomanPS-BoldMT"/>
          <w:b/>
          <w:bCs/>
        </w:rPr>
      </w:pPr>
    </w:p>
    <w:p w:rsidR="00F91DCF" w:rsidRPr="00F91DCF" w:rsidRDefault="00F91DCF" w:rsidP="00F91DCF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-BoldMT" w:cs="TimesNewRomanPS-BoldMT"/>
          <w:b/>
          <w:bCs/>
        </w:rPr>
      </w:pPr>
    </w:p>
    <w:p w:rsidR="00DB53C6" w:rsidRPr="005F6949" w:rsidRDefault="00DB53C6" w:rsidP="00E9529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eastAsia="TimesNewRomanPS-BoldMT" w:cs="TimesNewRomanPSMT"/>
        </w:rPr>
      </w:pPr>
      <w:r w:rsidRPr="005F6949">
        <w:rPr>
          <w:rFonts w:eastAsia="TimesNewRomanPS-BoldMT" w:cs="TimesNewRomanPSMT"/>
        </w:rPr>
        <w:t>N. 2 marche da bollo da € 16,00 ciascuna (una da applicare sull’istanza e una</w:t>
      </w:r>
      <w:r w:rsidR="00F91DCF" w:rsidRPr="005F6949">
        <w:rPr>
          <w:rFonts w:eastAsia="TimesNewRomanPS-BoldMT" w:cs="TimesNewRomanPSMT"/>
        </w:rPr>
        <w:t xml:space="preserve"> </w:t>
      </w:r>
      <w:r w:rsidRPr="005F6949">
        <w:rPr>
          <w:rFonts w:eastAsia="TimesNewRomanPS-BoldMT" w:cs="TimesNewRomanPSMT"/>
        </w:rPr>
        <w:t>sull’autorizzazione);</w:t>
      </w:r>
    </w:p>
    <w:p w:rsidR="00DB53C6" w:rsidRPr="00F91DCF" w:rsidRDefault="00DB53C6" w:rsidP="00F91DC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  <w:r w:rsidRPr="00F91DCF">
        <w:rPr>
          <w:rFonts w:eastAsia="TimesNewRomanPS-BoldMT" w:cs="TimesNewRomanPSMT"/>
          <w:b/>
        </w:rPr>
        <w:t>2)</w:t>
      </w:r>
      <w:r w:rsidRPr="00F91DCF">
        <w:rPr>
          <w:rFonts w:eastAsia="TimesNewRomanPS-BoldMT" w:cs="TimesNewRomanPSMT"/>
        </w:rPr>
        <w:t xml:space="preserve"> Copia del contratto di subappalto con evidenziazione delle prestazioni e l'indicazione dei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relativi prezzi unitari e degli oneri della sicurezza: come previsto dall’art. 105, comma 14,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del D.lgs. n. 50/2016</w:t>
      </w:r>
      <w:r w:rsidR="006F2E92">
        <w:rPr>
          <w:rFonts w:eastAsia="TimesNewRomanPS-BoldMT" w:cs="TimesNewRomanPSMT"/>
        </w:rPr>
        <w:t xml:space="preserve"> e </w:t>
      </w:r>
      <w:proofErr w:type="spellStart"/>
      <w:r w:rsidR="006F2E92">
        <w:rPr>
          <w:rFonts w:eastAsia="TimesNewRomanPS-BoldMT" w:cs="TimesNewRomanPSMT"/>
        </w:rPr>
        <w:t>s.m.i.</w:t>
      </w:r>
      <w:proofErr w:type="spellEnd"/>
      <w:r w:rsidRPr="00F91DCF">
        <w:rPr>
          <w:rFonts w:eastAsia="TimesNewRomanPS-BoldMT" w:cs="TimesNewRomanPSMT"/>
        </w:rPr>
        <w:t xml:space="preserve"> - l’affidatario dovrà praticare gli stessi prezzi unitari risultanti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dall’aggiudicazione con un ribasso non superiore al 20%; gli oneri della sicurezza dovranno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essere corrisposti senza alcun ribasso;</w:t>
      </w:r>
    </w:p>
    <w:p w:rsidR="00DB53C6" w:rsidRPr="00F91DCF" w:rsidRDefault="00DB53C6" w:rsidP="00F91DC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  <w:r w:rsidRPr="00F91DCF">
        <w:rPr>
          <w:rFonts w:eastAsia="TimesNewRomanPS-BoldMT" w:cs="TimesNewRomanPSMT"/>
          <w:b/>
        </w:rPr>
        <w:t>3)</w:t>
      </w:r>
      <w:r w:rsidRPr="00F91DCF">
        <w:rPr>
          <w:rFonts w:eastAsia="TimesNewRomanPS-BoldMT" w:cs="TimesNewRomanPSMT"/>
        </w:rPr>
        <w:t xml:space="preserve"> Dichiarazione circa la sussistenza o meno di forme di controllo o di collegamento, a norma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dell’art. 2359 del codice civile, con il titolare del subappalto, ai sensi dell’art. 105, comma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18, del D.lgs. n. 50/2016</w:t>
      </w:r>
      <w:r w:rsidR="006F2E92">
        <w:rPr>
          <w:rFonts w:eastAsia="TimesNewRomanPS-BoldMT" w:cs="TimesNewRomanPSMT"/>
        </w:rPr>
        <w:t xml:space="preserve"> e </w:t>
      </w:r>
      <w:proofErr w:type="spellStart"/>
      <w:r w:rsidR="006F2E92">
        <w:rPr>
          <w:rFonts w:eastAsia="TimesNewRomanPS-BoldMT" w:cs="TimesNewRomanPSMT"/>
        </w:rPr>
        <w:t>s.m.i.</w:t>
      </w:r>
      <w:proofErr w:type="spellEnd"/>
      <w:r w:rsidRPr="00F91DCF">
        <w:rPr>
          <w:rFonts w:eastAsia="TimesNewRomanPS-BoldMT" w:cs="TimesNewRomanPSMT"/>
        </w:rPr>
        <w:t>. Analoga dichiarazione deve essere effettuata da ciascuno dei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soggetti partecipanti nel caso di raggruppamento temporaneo o consorzio.</w:t>
      </w:r>
    </w:p>
    <w:p w:rsidR="00DB53C6" w:rsidRPr="00F91DCF" w:rsidRDefault="00DB53C6" w:rsidP="00F91DC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  <w:r w:rsidRPr="00F91DCF">
        <w:rPr>
          <w:rFonts w:eastAsia="TimesNewRomanPS-BoldMT" w:cs="TimesNewRomanPSMT"/>
          <w:b/>
        </w:rPr>
        <w:t>4)</w:t>
      </w:r>
      <w:r w:rsidRPr="00F91DCF">
        <w:rPr>
          <w:rFonts w:eastAsia="TimesNewRomanPS-BoldMT" w:cs="TimesNewRomanPSMT"/>
        </w:rPr>
        <w:t xml:space="preserve"> In caso di subappalto ad un raggruppamento temporaneo di imprese: mandato collettivo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speciale con rappresentanza ad una di esse, detta mandataria, risultante da scrittura privata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autenticata. La relativa procura dovrà essere conferita al legale rappresentante dell’impresa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mandataria. (art. 48, comma 13 del D.lgs. n. 50/2016</w:t>
      </w:r>
      <w:r w:rsidR="006F2E92">
        <w:rPr>
          <w:rFonts w:eastAsia="TimesNewRomanPS-BoldMT" w:cs="TimesNewRomanPSMT"/>
        </w:rPr>
        <w:t xml:space="preserve"> </w:t>
      </w:r>
      <w:proofErr w:type="spellStart"/>
      <w:r w:rsidR="006F2E92">
        <w:rPr>
          <w:rFonts w:eastAsia="TimesNewRomanPS-BoldMT" w:cs="TimesNewRomanPSMT"/>
        </w:rPr>
        <w:t>s.m.i.</w:t>
      </w:r>
      <w:proofErr w:type="spellEnd"/>
      <w:r w:rsidRPr="00F91DCF">
        <w:rPr>
          <w:rFonts w:eastAsia="TimesNewRomanPS-BoldMT" w:cs="TimesNewRomanPSMT"/>
        </w:rPr>
        <w:t>);</w:t>
      </w:r>
    </w:p>
    <w:p w:rsidR="00DB53C6" w:rsidRPr="00F91DCF" w:rsidRDefault="00DB53C6" w:rsidP="00F91DC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  <w:r w:rsidRPr="00F91DCF">
        <w:rPr>
          <w:rFonts w:eastAsia="TimesNewRomanPS-BoldMT" w:cs="TimesNewRomanPSMT"/>
          <w:b/>
        </w:rPr>
        <w:t>5)</w:t>
      </w:r>
      <w:r w:rsidRPr="00F91DCF">
        <w:rPr>
          <w:rFonts w:eastAsia="TimesNewRomanPS-BoldMT" w:cs="TimesNewRomanPSMT"/>
        </w:rPr>
        <w:t xml:space="preserve"> In caso di subappalto a società per azioni, in accomandita per azioni, a responsabilità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limitata, a società cooperative per azioni o a responsabilità limitata, a società consortili per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azioni o a responsabilità limitata: comunicazione della composizione societaria e di quanto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ancora previsto dall’art. 1 del D.P.R. 11 maggio 1991, n. 187;</w:t>
      </w:r>
    </w:p>
    <w:p w:rsidR="00DB53C6" w:rsidRPr="00F91DCF" w:rsidRDefault="00DB53C6" w:rsidP="00F91DC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  <w:r w:rsidRPr="00F91DCF">
        <w:rPr>
          <w:rFonts w:eastAsia="TimesNewRomanPS-BoldMT" w:cs="TimesNewRomanPSMT"/>
          <w:b/>
        </w:rPr>
        <w:t>6)</w:t>
      </w:r>
      <w:r w:rsidRPr="00F91DCF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-BoldMT"/>
          <w:b/>
          <w:bCs/>
        </w:rPr>
        <w:t>Dichiarazione della Ditta subappaltatrice</w:t>
      </w:r>
      <w:r w:rsidRPr="00F91DCF">
        <w:rPr>
          <w:rFonts w:eastAsia="TimesNewRomanPS-BoldMT" w:cs="TimesNewRomanPSMT"/>
        </w:rPr>
        <w:t>, resa a norma della vigente normativa in materia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di documentazione amministrativa (art. 46 e 47 del DPR. n. 445/2000), allegando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contestualmente fotocopia di un documento valido d’identità del dichiarante, con la quale si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attesta:</w:t>
      </w:r>
    </w:p>
    <w:p w:rsidR="00DB53C6" w:rsidRPr="00F91DCF" w:rsidRDefault="00DB53C6" w:rsidP="00F91DC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  <w:r w:rsidRPr="00F91DCF">
        <w:rPr>
          <w:rFonts w:eastAsia="TimesNewRomanPS-BoldMT" w:cs="TimesNewRomanPSMT"/>
        </w:rPr>
        <w:t>a) in caso di lavori di importo superiore a €. 150.000,00: di essere in possesso di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attestazione SOA, in corso di validità, per categorie e classifiche adeguate ai lavori da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assumere;</w:t>
      </w:r>
    </w:p>
    <w:p w:rsidR="00DB53C6" w:rsidRPr="00F91DCF" w:rsidRDefault="00DB53C6" w:rsidP="00F91DC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  <w:r w:rsidRPr="00F91DCF">
        <w:rPr>
          <w:rFonts w:eastAsia="TimesNewRomanPS-BoldMT" w:cs="TimesNewRomanPSMT"/>
        </w:rPr>
        <w:t xml:space="preserve">b) di avere adempiuto, all’interno della azienda </w:t>
      </w:r>
      <w:proofErr w:type="spellStart"/>
      <w:r w:rsidRPr="00F91DCF">
        <w:rPr>
          <w:rFonts w:eastAsia="TimesNewRomanPS-BoldMT" w:cs="TimesNewRomanPSMT"/>
        </w:rPr>
        <w:t>subaffidataria</w:t>
      </w:r>
      <w:proofErr w:type="spellEnd"/>
      <w:r w:rsidRPr="00F91DCF">
        <w:rPr>
          <w:rFonts w:eastAsia="TimesNewRomanPS-BoldMT" w:cs="TimesNewRomanPSMT"/>
        </w:rPr>
        <w:t>, agli obblighi di sicurezza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previsti dalla vigente normativa;</w:t>
      </w:r>
    </w:p>
    <w:p w:rsidR="00DB53C6" w:rsidRDefault="00DB53C6" w:rsidP="00F91DC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  <w:r w:rsidRPr="00F91DCF">
        <w:rPr>
          <w:rFonts w:eastAsia="TimesNewRomanPS-BoldMT" w:cs="TimesNewRomanPSMT"/>
        </w:rPr>
        <w:t>c) di non trovarsi nelle condizioni di esclusione previste dall’art. 80 (Motivi di esclusione)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del D.lgs. n. 50/2016</w:t>
      </w:r>
      <w:r w:rsidR="006F2E92">
        <w:rPr>
          <w:rFonts w:eastAsia="TimesNewRomanPS-BoldMT" w:cs="TimesNewRomanPSMT"/>
        </w:rPr>
        <w:t xml:space="preserve"> e </w:t>
      </w:r>
      <w:proofErr w:type="spellStart"/>
      <w:r w:rsidR="006F2E92">
        <w:rPr>
          <w:rFonts w:eastAsia="TimesNewRomanPS-BoldMT" w:cs="TimesNewRomanPSMT"/>
        </w:rPr>
        <w:t>s.m.i.</w:t>
      </w:r>
      <w:proofErr w:type="spellEnd"/>
      <w:r w:rsidRPr="00F91DCF">
        <w:rPr>
          <w:rFonts w:eastAsia="TimesNewRomanPS-BoldMT" w:cs="TimesNewRomanPSMT"/>
        </w:rPr>
        <w:t>;</w:t>
      </w:r>
    </w:p>
    <w:p w:rsidR="006D12A5" w:rsidRPr="00F91DCF" w:rsidRDefault="006D12A5" w:rsidP="00F91DC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</w:p>
    <w:p w:rsidR="00DB53C6" w:rsidRPr="00F91DCF" w:rsidRDefault="00DB53C6" w:rsidP="00F91DC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-BoldMT"/>
          <w:b/>
          <w:bCs/>
        </w:rPr>
      </w:pPr>
      <w:r w:rsidRPr="00F91DCF">
        <w:rPr>
          <w:rFonts w:eastAsia="TimesNewRomanPS-BoldMT" w:cs="TimesNewRomanPS-BoldMT"/>
          <w:b/>
          <w:bCs/>
        </w:rPr>
        <w:t>Avvertenza:</w:t>
      </w:r>
    </w:p>
    <w:p w:rsidR="00DB53C6" w:rsidRPr="00F91DCF" w:rsidRDefault="00DB53C6" w:rsidP="00F91DC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  <w:r w:rsidRPr="00F91DCF">
        <w:rPr>
          <w:rFonts w:eastAsia="TimesNewRomanPS-BoldMT" w:cs="TimesNewRomanPSMT"/>
        </w:rPr>
        <w:t>La dichiarazione di cui all'art. 80 comma 1 lettere a), b), c), d), e), f) e g) deve essere resa:</w:t>
      </w:r>
    </w:p>
    <w:p w:rsidR="00DB53C6" w:rsidRPr="00F91DCF" w:rsidRDefault="00DB53C6" w:rsidP="00E2738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  <w:r w:rsidRPr="00F91DCF">
        <w:rPr>
          <w:rFonts w:ascii="MS Gothic" w:eastAsia="MS Gothic" w:hAnsi="MS Gothic" w:cs="MS Gothic" w:hint="eastAsia"/>
        </w:rPr>
        <w:t>➢</w:t>
      </w:r>
      <w:r w:rsidRPr="00F91DCF">
        <w:rPr>
          <w:rFonts w:eastAsia="TimesNewRomanPS-BoldMT" w:cs="OpenSymbol"/>
        </w:rPr>
        <w:t xml:space="preserve"> </w:t>
      </w:r>
      <w:r w:rsidRPr="00F91DCF">
        <w:rPr>
          <w:rFonts w:eastAsia="TimesNewRomanPS-BoldMT" w:cs="TimesNewRomanPSMT"/>
        </w:rPr>
        <w:t>dal titolare e dal direttore tecnico, se si tratta di impresa individuale;</w:t>
      </w:r>
    </w:p>
    <w:p w:rsidR="00DB53C6" w:rsidRPr="00F91DCF" w:rsidRDefault="00DB53C6" w:rsidP="00E2738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  <w:r w:rsidRPr="00F91DCF">
        <w:rPr>
          <w:rFonts w:ascii="MS Gothic" w:eastAsia="MS Gothic" w:hAnsi="MS Gothic" w:cs="MS Gothic" w:hint="eastAsia"/>
        </w:rPr>
        <w:t>➢</w:t>
      </w:r>
      <w:r w:rsidRPr="00F91DCF">
        <w:rPr>
          <w:rFonts w:eastAsia="TimesNewRomanPS-BoldMT" w:cs="OpenSymbol"/>
        </w:rPr>
        <w:t xml:space="preserve"> </w:t>
      </w:r>
      <w:r w:rsidRPr="00F91DCF">
        <w:rPr>
          <w:rFonts w:eastAsia="TimesNewRomanPS-BoldMT" w:cs="TimesNewRomanPSMT"/>
        </w:rPr>
        <w:t>dai soci e del direttore tecnico, se si tratta di società in nome collettivo;</w:t>
      </w:r>
    </w:p>
    <w:p w:rsidR="00DB53C6" w:rsidRPr="00F91DCF" w:rsidRDefault="00DB53C6" w:rsidP="00E2738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  <w:r w:rsidRPr="00F91DCF">
        <w:rPr>
          <w:rFonts w:ascii="MS Gothic" w:eastAsia="MS Gothic" w:hAnsi="MS Gothic" w:cs="MS Gothic" w:hint="eastAsia"/>
        </w:rPr>
        <w:t>➢</w:t>
      </w:r>
      <w:r w:rsidRPr="00F91DCF">
        <w:rPr>
          <w:rFonts w:eastAsia="TimesNewRomanPS-BoldMT" w:cs="OpenSymbol"/>
        </w:rPr>
        <w:t xml:space="preserve"> </w:t>
      </w:r>
      <w:r w:rsidRPr="00F91DCF">
        <w:rPr>
          <w:rFonts w:eastAsia="TimesNewRomanPS-BoldMT" w:cs="TimesNewRomanPSMT"/>
        </w:rPr>
        <w:t>dai soci accomandatari e del direttore tecnico, se si tratta di società in accomandita semplice;</w:t>
      </w:r>
    </w:p>
    <w:p w:rsidR="00DB53C6" w:rsidRPr="00F91DCF" w:rsidRDefault="00DB53C6" w:rsidP="00E2738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  <w:r w:rsidRPr="00F91DCF">
        <w:rPr>
          <w:rFonts w:ascii="MS Gothic" w:eastAsia="MS Gothic" w:hAnsi="MS Gothic" w:cs="MS Gothic" w:hint="eastAsia"/>
        </w:rPr>
        <w:t>➢</w:t>
      </w:r>
      <w:r w:rsidRPr="00F91DCF">
        <w:rPr>
          <w:rFonts w:eastAsia="TimesNewRomanPS-BoldMT" w:cs="OpenSymbol"/>
        </w:rPr>
        <w:t xml:space="preserve"> </w:t>
      </w:r>
      <w:r w:rsidRPr="00F91DCF">
        <w:rPr>
          <w:rFonts w:eastAsia="TimesNewRomanPS-BoldMT" w:cs="TimesNewRomanPSMT"/>
        </w:rPr>
        <w:t>dai membri del consiglio di amministrazione cui sia stata conferita la legale rappresentanza,</w:t>
      </w:r>
      <w:r w:rsidR="006D12A5">
        <w:rPr>
          <w:rFonts w:eastAsia="TimesNewRomanPS-BoldMT" w:cs="TimesNewRomanPSMT"/>
        </w:rPr>
        <w:t xml:space="preserve"> </w:t>
      </w:r>
      <w:r w:rsidR="009E4038" w:rsidRPr="009E4038">
        <w:rPr>
          <w:rFonts w:cs="Tahoma"/>
          <w:bCs/>
          <w:shd w:val="clear" w:color="auto" w:fill="F5FDFE"/>
        </w:rPr>
        <w:t>ivi compresi institori e procuratori generali, dai membri degli organi con poteri</w:t>
      </w:r>
      <w:r w:rsidR="009E4038" w:rsidRPr="00F91DCF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di direzione o di vigilanza e dei soggetti muniti di poteri di rappresentanza, di direzione o di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controllo, dal direttore tecnico e dal socio unico persona fisica, ovvero dal socio di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maggioranza in caso di società con meno di quattro soci, se si tratta di altro tipo di società o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consorzio.</w:t>
      </w:r>
    </w:p>
    <w:p w:rsidR="00DB53C6" w:rsidRPr="00F91DCF" w:rsidRDefault="00DB53C6" w:rsidP="00E2738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  <w:r w:rsidRPr="00F91DCF">
        <w:rPr>
          <w:rFonts w:ascii="MS Gothic" w:eastAsia="MS Gothic" w:hAnsi="MS Gothic" w:cs="MS Gothic" w:hint="eastAsia"/>
        </w:rPr>
        <w:t>➢</w:t>
      </w:r>
      <w:r w:rsidRPr="00F91DCF">
        <w:rPr>
          <w:rFonts w:eastAsia="TimesNewRomanPS-BoldMT" w:cs="OpenSymbol"/>
        </w:rPr>
        <w:t xml:space="preserve"> </w:t>
      </w:r>
      <w:r w:rsidRPr="00F91DCF">
        <w:rPr>
          <w:rFonts w:eastAsia="TimesNewRomanPS-BoldMT" w:cs="TimesNewRomanPSMT"/>
        </w:rPr>
        <w:t>dai soggetti cessati dalla carica nell’anno precedente la data della richiesta di subappalto.</w:t>
      </w:r>
    </w:p>
    <w:p w:rsidR="00DB53C6" w:rsidRPr="00F91DCF" w:rsidRDefault="00DB53C6" w:rsidP="00E2738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  <w:r w:rsidRPr="00F91DCF">
        <w:rPr>
          <w:rFonts w:eastAsia="TimesNewRomanPS-BoldMT" w:cs="TimesNewRomanPSMT"/>
        </w:rPr>
        <w:t>Detta dichiarazione dovrà indicare tutte le eventuali condanne penali con sentenza definitiva</w:t>
      </w:r>
      <w:r w:rsidR="00E27389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riportate, per i reati elencati al comma 1 suddetto; non dovranno, invece, essere riportate le</w:t>
      </w:r>
      <w:r w:rsidR="00E27389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condanne per reati depenalizzati ovvero dichiarati estinti dopo la condanna stessa, né le condanne</w:t>
      </w:r>
      <w:r w:rsidR="00E27389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revocate, né quelle per le quali sia intervenuta la riabilitazione.</w:t>
      </w:r>
    </w:p>
    <w:p w:rsidR="00DB53C6" w:rsidRPr="00F91DCF" w:rsidRDefault="00DB53C6" w:rsidP="00F91DC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  <w:r w:rsidRPr="00F91DCF">
        <w:rPr>
          <w:rFonts w:eastAsia="TimesNewRomanPS-BoldMT" w:cs="TimesNewRomanPSMT"/>
        </w:rPr>
        <w:lastRenderedPageBreak/>
        <w:t>d) che è in regola con le norme che disciplinano il diritto al lavoro dei disabili, ai sensi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 xml:space="preserve">della Legge n. 68/99, </w:t>
      </w:r>
      <w:r w:rsidRPr="00F91DCF">
        <w:rPr>
          <w:rFonts w:eastAsia="TimesNewRomanPS-BoldMT" w:cs="TimesNewRomanPS-BoldMT"/>
          <w:b/>
          <w:bCs/>
        </w:rPr>
        <w:t>ovvero</w:t>
      </w:r>
      <w:r w:rsidRPr="00F91DCF">
        <w:rPr>
          <w:rFonts w:eastAsia="TimesNewRomanPS-BoldMT" w:cs="TimesNewRomanPSMT"/>
        </w:rPr>
        <w:t>, che la medesima non è tenuta all’osservanza della citata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normativa;</w:t>
      </w:r>
    </w:p>
    <w:p w:rsidR="00DB53C6" w:rsidRPr="00F91DCF" w:rsidRDefault="00DB53C6" w:rsidP="00F91DC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  <w:r w:rsidRPr="006D12A5">
        <w:rPr>
          <w:rFonts w:eastAsia="TimesNewRomanPS-BoldMT" w:cs="TimesNewRomanPSMT"/>
          <w:b/>
        </w:rPr>
        <w:t>7)</w:t>
      </w:r>
      <w:r w:rsidRPr="00F91DCF">
        <w:rPr>
          <w:rFonts w:eastAsia="TimesNewRomanPS-BoldMT" w:cs="TimesNewRomanPSMT"/>
        </w:rPr>
        <w:t xml:space="preserve"> requisiti di idoneità professionale (art. 83 comma 3 del Dlgs.50/2016</w:t>
      </w:r>
      <w:r w:rsidR="006F2E92">
        <w:rPr>
          <w:rFonts w:eastAsia="TimesNewRomanPS-BoldMT" w:cs="TimesNewRomanPSMT"/>
        </w:rPr>
        <w:t xml:space="preserve"> e </w:t>
      </w:r>
      <w:proofErr w:type="spellStart"/>
      <w:r w:rsidR="006F2E92">
        <w:rPr>
          <w:rFonts w:eastAsia="TimesNewRomanPS-BoldMT" w:cs="TimesNewRomanPSMT"/>
        </w:rPr>
        <w:t>s.m.i.</w:t>
      </w:r>
      <w:proofErr w:type="spellEnd"/>
      <w:r w:rsidRPr="00F91DCF">
        <w:rPr>
          <w:rFonts w:eastAsia="TimesNewRomanPS-BoldMT" w:cs="TimesNewRomanPSMT"/>
        </w:rPr>
        <w:t>):</w:t>
      </w:r>
    </w:p>
    <w:p w:rsidR="00DB53C6" w:rsidRPr="00F91DCF" w:rsidRDefault="00DB53C6" w:rsidP="00F91DC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  <w:r w:rsidRPr="00F91DCF">
        <w:rPr>
          <w:rFonts w:eastAsia="TimesNewRomanPS-BoldMT" w:cs="OpenSymbol"/>
        </w:rPr>
        <w:t xml:space="preserve">• </w:t>
      </w:r>
      <w:r w:rsidRPr="00F91DCF">
        <w:rPr>
          <w:rFonts w:eastAsia="TimesNewRomanPS-BoldMT" w:cs="TimesNewRomanPSMT"/>
        </w:rPr>
        <w:t>di essere iscritta al registro della competente Camera di commercio, industria, artigiano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e agricoltura e artigianato per categoria pertinente indicando espressamente:</w:t>
      </w:r>
    </w:p>
    <w:p w:rsidR="00DB53C6" w:rsidRPr="00E95298" w:rsidRDefault="00DB53C6" w:rsidP="00E9529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  <w:r w:rsidRPr="00E95298">
        <w:rPr>
          <w:rFonts w:eastAsia="TimesNewRomanPS-BoldMT" w:cs="TimesNewRomanPSMT"/>
        </w:rPr>
        <w:t>il numero di iscrizione;</w:t>
      </w:r>
    </w:p>
    <w:p w:rsidR="00DB53C6" w:rsidRPr="00E95298" w:rsidRDefault="00DB53C6" w:rsidP="00E9529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  <w:r w:rsidRPr="00E95298">
        <w:rPr>
          <w:rFonts w:eastAsia="TimesNewRomanPS-BoldMT" w:cs="TimesNewRomanPSMT"/>
        </w:rPr>
        <w:t>il nominativo dei legali rappresentanti e degli amministratori;</w:t>
      </w:r>
    </w:p>
    <w:p w:rsidR="00DB53C6" w:rsidRPr="00E95298" w:rsidRDefault="00DB53C6" w:rsidP="00E9529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  <w:r w:rsidRPr="00E95298">
        <w:rPr>
          <w:rFonts w:eastAsia="TimesNewRomanPS-BoldMT" w:cs="TimesNewRomanPSMT"/>
        </w:rPr>
        <w:t>il nominativo del socio unico ovvero del socio di maggioranza, se trattasi di società</w:t>
      </w:r>
      <w:r w:rsidR="006D12A5" w:rsidRPr="00E95298">
        <w:rPr>
          <w:rFonts w:eastAsia="TimesNewRomanPS-BoldMT" w:cs="TimesNewRomanPSMT"/>
        </w:rPr>
        <w:t xml:space="preserve"> </w:t>
      </w:r>
      <w:r w:rsidRPr="00E95298">
        <w:rPr>
          <w:rFonts w:eastAsia="TimesNewRomanPS-BoldMT" w:cs="TimesNewRomanPSMT"/>
        </w:rPr>
        <w:t>di capitali con meno di quattro soci;</w:t>
      </w:r>
    </w:p>
    <w:p w:rsidR="00DB53C6" w:rsidRPr="00F91DCF" w:rsidRDefault="00DB53C6" w:rsidP="00F91DC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  <w:r w:rsidRPr="00F91DCF">
        <w:rPr>
          <w:rFonts w:eastAsia="TimesNewRomanPS-BoldMT" w:cs="TimesNewRomanPS-BoldMT"/>
          <w:b/>
          <w:bCs/>
        </w:rPr>
        <w:t xml:space="preserve">8) (per lavori di importo pari o inferiore a €. 150.000,00): </w:t>
      </w:r>
      <w:r w:rsidRPr="00F91DCF">
        <w:rPr>
          <w:rFonts w:eastAsia="TimesNewRomanPS-BoldMT" w:cs="TimesNewRomanPSMT"/>
        </w:rPr>
        <w:t>che la medesima è in possesso dei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requisiti di ordine tecnico-organizzativo previsti dall’ art. 90 del D.P.R. n. 207/2010,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producendo:</w:t>
      </w:r>
    </w:p>
    <w:p w:rsidR="00DB53C6" w:rsidRPr="00F91DCF" w:rsidRDefault="00E95298" w:rsidP="00F91DC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  <w:r w:rsidRPr="00E95298">
        <w:rPr>
          <w:rFonts w:eastAsia="TimesNewRomanPS-BoldMT" w:cs="TimesNewRomanPSMT"/>
          <w:b/>
        </w:rPr>
        <w:t>a)</w:t>
      </w:r>
      <w:r w:rsidR="00DB53C6" w:rsidRPr="00F91DCF">
        <w:rPr>
          <w:rFonts w:eastAsia="TimesNewRomanPS-BoldMT" w:cs="TimesNewRomanPSMT"/>
        </w:rPr>
        <w:t xml:space="preserve"> certificati di esecuzione di lavori analoghi a quelli oggetto dell'appalto, eseguiti</w:t>
      </w:r>
      <w:r w:rsidR="006D12A5">
        <w:rPr>
          <w:rFonts w:eastAsia="TimesNewRomanPS-BoldMT" w:cs="TimesNewRomanPSMT"/>
        </w:rPr>
        <w:t xml:space="preserve"> </w:t>
      </w:r>
      <w:r w:rsidR="00DB53C6" w:rsidRPr="00F91DCF">
        <w:rPr>
          <w:rFonts w:eastAsia="TimesNewRomanPS-BoldMT" w:cs="TimesNewRomanPSMT"/>
        </w:rPr>
        <w:t>direttamente nei cinque anni precedenti, per un importo non inferiore al corrispettivo</w:t>
      </w:r>
      <w:r w:rsidR="006D12A5">
        <w:rPr>
          <w:rFonts w:eastAsia="TimesNewRomanPS-BoldMT" w:cs="TimesNewRomanPSMT"/>
        </w:rPr>
        <w:t xml:space="preserve"> </w:t>
      </w:r>
      <w:r w:rsidR="00DB53C6" w:rsidRPr="00F91DCF">
        <w:rPr>
          <w:rFonts w:eastAsia="TimesNewRomanPS-BoldMT" w:cs="TimesNewRomanPSMT"/>
        </w:rPr>
        <w:t>del contratto di subappalto. (Detti certificati dovranno essere redatti, in analogia, agli</w:t>
      </w:r>
      <w:r w:rsidR="006D12A5">
        <w:rPr>
          <w:rFonts w:eastAsia="TimesNewRomanPS-BoldMT" w:cs="TimesNewRomanPSMT"/>
        </w:rPr>
        <w:t xml:space="preserve"> </w:t>
      </w:r>
      <w:r w:rsidR="00DB53C6" w:rsidRPr="00F91DCF">
        <w:rPr>
          <w:rFonts w:eastAsia="TimesNewRomanPS-BoldMT" w:cs="TimesNewRomanPSMT"/>
        </w:rPr>
        <w:t>allegati B e B-1 del DPR. n. 207/2010); ovvero, dichiarazione che i predetti lavori</w:t>
      </w:r>
      <w:r w:rsidR="006D12A5">
        <w:rPr>
          <w:rFonts w:eastAsia="TimesNewRomanPS-BoldMT" w:cs="TimesNewRomanPSMT"/>
        </w:rPr>
        <w:t xml:space="preserve"> </w:t>
      </w:r>
      <w:r w:rsidR="00DB53C6" w:rsidRPr="00F91DCF">
        <w:rPr>
          <w:rFonts w:eastAsia="TimesNewRomanPS-BoldMT" w:cs="TimesNewRomanPSMT"/>
        </w:rPr>
        <w:t>sono stati eseguiti dalla Ditta subappa</w:t>
      </w:r>
      <w:r>
        <w:rPr>
          <w:rFonts w:eastAsia="TimesNewRomanPS-BoldMT" w:cs="TimesNewRomanPSMT"/>
        </w:rPr>
        <w:t xml:space="preserve">ltatrice per </w:t>
      </w:r>
      <w:proofErr w:type="spellStart"/>
      <w:r>
        <w:rPr>
          <w:rFonts w:eastAsia="TimesNewRomanPS-BoldMT" w:cs="TimesNewRomanPSMT"/>
        </w:rPr>
        <w:t>A.I.Po</w:t>
      </w:r>
      <w:proofErr w:type="spellEnd"/>
      <w:r w:rsidR="00DB53C6" w:rsidRPr="00F91DCF">
        <w:rPr>
          <w:rFonts w:eastAsia="TimesNewRomanPS-BoldMT" w:cs="TimesNewRomanPSMT"/>
        </w:rPr>
        <w:t>.</w:t>
      </w:r>
    </w:p>
    <w:p w:rsidR="00DB53C6" w:rsidRPr="00F91DCF" w:rsidRDefault="00E95298" w:rsidP="00F91DC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  <w:r w:rsidRPr="00E95298">
        <w:rPr>
          <w:rFonts w:eastAsia="TimesNewRomanPS-BoldMT" w:cs="TimesNewRomanPS-BoldMT"/>
          <w:b/>
          <w:bCs/>
        </w:rPr>
        <w:t>b)</w:t>
      </w:r>
      <w:r w:rsidR="00DB53C6" w:rsidRPr="00F91DCF">
        <w:rPr>
          <w:rFonts w:eastAsia="TimesNewRomanPS-BoldMT" w:cs="TimesNewRomanPS-BoldMT"/>
          <w:b/>
          <w:bCs/>
        </w:rPr>
        <w:t xml:space="preserve"> (per i soggetti che sono obbligati al deposito annuale del bilancio di esercizio presso</w:t>
      </w:r>
      <w:r w:rsidR="006D12A5">
        <w:rPr>
          <w:rFonts w:eastAsia="TimesNewRomanPS-BoldMT" w:cs="TimesNewRomanPS-BoldMT"/>
          <w:b/>
          <w:bCs/>
        </w:rPr>
        <w:t xml:space="preserve"> </w:t>
      </w:r>
      <w:r w:rsidR="00DB53C6" w:rsidRPr="00F91DCF">
        <w:rPr>
          <w:rFonts w:eastAsia="TimesNewRomanPS-BoldMT" w:cs="TimesNewRomanPS-BoldMT"/>
          <w:b/>
          <w:bCs/>
        </w:rPr>
        <w:t>il Registro Imprese Societ</w:t>
      </w:r>
      <w:r w:rsidR="006D12A5">
        <w:rPr>
          <w:rFonts w:eastAsia="TimesNewRomanPS-BoldMT" w:cs="TimesNewRomanPS-BoldMT"/>
          <w:b/>
          <w:bCs/>
        </w:rPr>
        <w:t>à</w:t>
      </w:r>
      <w:r>
        <w:rPr>
          <w:rFonts w:eastAsia="TimesNewRomanPS-BoldMT" w:cs="TimesNewRomanPS-BoldMT"/>
          <w:b/>
          <w:bCs/>
        </w:rPr>
        <w:t xml:space="preserve"> di capitali e Società</w:t>
      </w:r>
      <w:r w:rsidR="00DB53C6" w:rsidRPr="00F91DCF">
        <w:rPr>
          <w:rFonts w:eastAsia="TimesNewRomanPS-BoldMT" w:cs="TimesNewRomanPS-BoldMT"/>
          <w:b/>
          <w:bCs/>
        </w:rPr>
        <w:t xml:space="preserve"> Cooperative) </w:t>
      </w:r>
      <w:r w:rsidR="00DB53C6" w:rsidRPr="00F91DCF">
        <w:rPr>
          <w:rFonts w:eastAsia="TimesNewRomanPS-BoldMT" w:cs="TimesNewRomanPSMT"/>
        </w:rPr>
        <w:t>copia dell’estratto</w:t>
      </w:r>
      <w:r w:rsidR="006D12A5">
        <w:rPr>
          <w:rFonts w:eastAsia="TimesNewRomanPS-BoldMT" w:cs="TimesNewRomanPSMT"/>
        </w:rPr>
        <w:t xml:space="preserve"> </w:t>
      </w:r>
      <w:r w:rsidR="00DB53C6" w:rsidRPr="00F91DCF">
        <w:rPr>
          <w:rFonts w:eastAsia="TimesNewRomanPS-BoldMT" w:cs="TimesNewRomanPSMT"/>
        </w:rPr>
        <w:t>dei bilanci annuali da cui risultano le voci relative al costo complessivo sostenuto per il</w:t>
      </w:r>
      <w:r w:rsidR="006D12A5">
        <w:rPr>
          <w:rFonts w:eastAsia="TimesNewRomanPS-BoldMT" w:cs="TimesNewRomanPSMT"/>
        </w:rPr>
        <w:t xml:space="preserve"> </w:t>
      </w:r>
      <w:r w:rsidR="00DB53C6" w:rsidRPr="00F91DCF">
        <w:rPr>
          <w:rFonts w:eastAsia="TimesNewRomanPS-BoldMT" w:cs="TimesNewRomanPSMT"/>
        </w:rPr>
        <w:t>personale dipendente, non inferiore al 15% dell’importo dei lavori di cui</w:t>
      </w:r>
      <w:r w:rsidRPr="00E95298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al</w:t>
      </w:r>
      <w:r>
        <w:rPr>
          <w:rFonts w:eastAsia="TimesNewRomanPS-BoldMT" w:cs="TimesNewRomanPSMT"/>
        </w:rPr>
        <w:t>la suddetta</w:t>
      </w:r>
      <w:r w:rsidRPr="00F91DCF">
        <w:rPr>
          <w:rFonts w:eastAsia="TimesNewRomanPS-BoldMT" w:cs="TimesNewRomanPSMT"/>
        </w:rPr>
        <w:t xml:space="preserve"> </w:t>
      </w:r>
      <w:proofErr w:type="spellStart"/>
      <w:r>
        <w:rPr>
          <w:rFonts w:eastAsia="TimesNewRomanPS-BoldMT" w:cs="TimesNewRomanPSMT"/>
        </w:rPr>
        <w:t>lett</w:t>
      </w:r>
      <w:proofErr w:type="spellEnd"/>
      <w:r>
        <w:rPr>
          <w:rFonts w:eastAsia="TimesNewRomanPS-BoldMT" w:cs="TimesNewRomanPSMT"/>
        </w:rPr>
        <w:t>. a)</w:t>
      </w:r>
      <w:r w:rsidR="00DB53C6" w:rsidRPr="00F91DCF">
        <w:rPr>
          <w:rFonts w:eastAsia="TimesNewRomanPS-BoldMT" w:cs="TimesNewRomanPSMT"/>
        </w:rPr>
        <w:t xml:space="preserve">; </w:t>
      </w:r>
      <w:r w:rsidR="00DB53C6" w:rsidRPr="00F91DCF">
        <w:rPr>
          <w:rFonts w:eastAsia="TimesNewRomanPS-BoldMT" w:cs="TimesNewRomanPS-BoldMT"/>
          <w:b/>
          <w:bCs/>
        </w:rPr>
        <w:t>(per i soggetti non tenuti)</w:t>
      </w:r>
      <w:r w:rsidR="00DB53C6" w:rsidRPr="00F91DCF">
        <w:rPr>
          <w:rFonts w:eastAsia="TimesNewRomanPS-BoldMT" w:cs="TimesNewRomanPSMT"/>
        </w:rPr>
        <w:t>: copia delle dichiarazioni annuali dei redditi, con</w:t>
      </w:r>
      <w:r w:rsidR="006D12A5">
        <w:rPr>
          <w:rFonts w:eastAsia="TimesNewRomanPS-BoldMT" w:cs="TimesNewRomanPSMT"/>
        </w:rPr>
        <w:t xml:space="preserve"> </w:t>
      </w:r>
      <w:r w:rsidR="00DB53C6" w:rsidRPr="00F91DCF">
        <w:rPr>
          <w:rFonts w:eastAsia="TimesNewRomanPS-BoldMT" w:cs="TimesNewRomanPSMT"/>
        </w:rPr>
        <w:t>prova dell’avvenuta presentazione e con evidenziazione delle voci relative al costo</w:t>
      </w:r>
      <w:r w:rsidR="006D12A5">
        <w:rPr>
          <w:rFonts w:eastAsia="TimesNewRomanPS-BoldMT" w:cs="TimesNewRomanPSMT"/>
        </w:rPr>
        <w:t xml:space="preserve"> </w:t>
      </w:r>
      <w:r w:rsidR="00DB53C6" w:rsidRPr="00F91DCF">
        <w:rPr>
          <w:rFonts w:eastAsia="TimesNewRomanPS-BoldMT" w:cs="TimesNewRomanPSMT"/>
        </w:rPr>
        <w:t>complessivo sostenuto per il personale dipendente, non inferiore al 15% dell’importo dei</w:t>
      </w:r>
      <w:r w:rsidR="006D12A5">
        <w:rPr>
          <w:rFonts w:eastAsia="TimesNewRomanPS-BoldMT" w:cs="TimesNewRomanPSMT"/>
        </w:rPr>
        <w:t xml:space="preserve"> </w:t>
      </w:r>
      <w:r w:rsidR="00DB53C6" w:rsidRPr="00F91DCF">
        <w:rPr>
          <w:rFonts w:eastAsia="TimesNewRomanPS-BoldMT" w:cs="TimesNewRomanPSMT"/>
        </w:rPr>
        <w:t>lavori di cui al</w:t>
      </w:r>
      <w:r>
        <w:rPr>
          <w:rFonts w:eastAsia="TimesNewRomanPS-BoldMT" w:cs="TimesNewRomanPSMT"/>
        </w:rPr>
        <w:t>la suddetta</w:t>
      </w:r>
      <w:r w:rsidR="00DB53C6" w:rsidRPr="00F91DCF">
        <w:rPr>
          <w:rFonts w:eastAsia="TimesNewRomanPS-BoldMT" w:cs="TimesNewRomanPSMT"/>
        </w:rPr>
        <w:t xml:space="preserve"> </w:t>
      </w:r>
      <w:proofErr w:type="spellStart"/>
      <w:r>
        <w:rPr>
          <w:rFonts w:eastAsia="TimesNewRomanPS-BoldMT" w:cs="TimesNewRomanPSMT"/>
        </w:rPr>
        <w:t>lett</w:t>
      </w:r>
      <w:proofErr w:type="spellEnd"/>
      <w:r>
        <w:rPr>
          <w:rFonts w:eastAsia="TimesNewRomanPS-BoldMT" w:cs="TimesNewRomanPSMT"/>
        </w:rPr>
        <w:t>. a)</w:t>
      </w:r>
      <w:r w:rsidR="00DB53C6" w:rsidRPr="00F91DCF">
        <w:rPr>
          <w:rFonts w:eastAsia="TimesNewRomanPS-BoldMT" w:cs="TimesNewRomanPSMT"/>
        </w:rPr>
        <w:t>.</w:t>
      </w:r>
    </w:p>
    <w:p w:rsidR="00DB53C6" w:rsidRPr="00F91DCF" w:rsidRDefault="00E95298" w:rsidP="00F91DC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  <w:r w:rsidRPr="00E95298">
        <w:rPr>
          <w:rFonts w:eastAsia="TimesNewRomanPS-BoldMT" w:cs="TimesNewRomanPSMT"/>
          <w:b/>
        </w:rPr>
        <w:t>c</w:t>
      </w:r>
      <w:r w:rsidR="00DB53C6" w:rsidRPr="00E95298">
        <w:rPr>
          <w:rFonts w:eastAsia="TimesNewRomanPS-BoldMT" w:cs="TimesNewRomanPSMT"/>
          <w:b/>
        </w:rPr>
        <w:t>)</w:t>
      </w:r>
      <w:r w:rsidR="00DB53C6" w:rsidRPr="00F91DCF">
        <w:rPr>
          <w:rFonts w:eastAsia="TimesNewRomanPS-BoldMT" w:cs="TimesNewRomanPSMT"/>
        </w:rPr>
        <w:t xml:space="preserve"> dichiarazione della disponibilità di adeguata attrezzatura tecnica con precisa</w:t>
      </w:r>
      <w:r w:rsidR="006D12A5">
        <w:rPr>
          <w:rFonts w:eastAsia="TimesNewRomanPS-BoldMT" w:cs="TimesNewRomanPSMT"/>
        </w:rPr>
        <w:t xml:space="preserve"> </w:t>
      </w:r>
      <w:r w:rsidR="00DB53C6" w:rsidRPr="00F91DCF">
        <w:rPr>
          <w:rFonts w:eastAsia="TimesNewRomanPS-BoldMT" w:cs="TimesNewRomanPSMT"/>
        </w:rPr>
        <w:t>indicazione delle componenti di maggior rilievo per l'esecuzione dei lavori oggetto del</w:t>
      </w:r>
      <w:r w:rsidR="006D12A5">
        <w:rPr>
          <w:rFonts w:eastAsia="TimesNewRomanPS-BoldMT" w:cs="TimesNewRomanPSMT"/>
        </w:rPr>
        <w:t xml:space="preserve"> </w:t>
      </w:r>
      <w:r w:rsidR="00DB53C6" w:rsidRPr="00F91DCF">
        <w:rPr>
          <w:rFonts w:eastAsia="TimesNewRomanPS-BoldMT" w:cs="TimesNewRomanPSMT"/>
        </w:rPr>
        <w:t>subappalto;</w:t>
      </w:r>
    </w:p>
    <w:p w:rsidR="00DB53C6" w:rsidRPr="00F91DCF" w:rsidRDefault="00DB53C6" w:rsidP="00F91DC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-BoldMT"/>
          <w:b/>
          <w:bCs/>
        </w:rPr>
      </w:pPr>
      <w:r w:rsidRPr="00F91DCF">
        <w:rPr>
          <w:rFonts w:eastAsia="TimesNewRomanPS-BoldMT" w:cs="TimesNewRomanPS-BoldMT"/>
          <w:b/>
          <w:bCs/>
        </w:rPr>
        <w:t>(NB: I requisiti tecnico-finanzia</w:t>
      </w:r>
      <w:r w:rsidR="00E95298">
        <w:rPr>
          <w:rFonts w:eastAsia="TimesNewRomanPS-BoldMT" w:cs="TimesNewRomanPS-BoldMT"/>
          <w:b/>
          <w:bCs/>
        </w:rPr>
        <w:t>ri di cui ai precedenti numeri a) b) e c</w:t>
      </w:r>
      <w:r w:rsidRPr="00F91DCF">
        <w:rPr>
          <w:rFonts w:eastAsia="TimesNewRomanPS-BoldMT" w:cs="TimesNewRomanPS-BoldMT"/>
          <w:b/>
          <w:bCs/>
        </w:rPr>
        <w:t>) si riterranno</w:t>
      </w:r>
      <w:r w:rsidR="006D12A5">
        <w:rPr>
          <w:rFonts w:eastAsia="TimesNewRomanPS-BoldMT" w:cs="TimesNewRomanPS-BoldMT"/>
          <w:b/>
          <w:bCs/>
        </w:rPr>
        <w:t xml:space="preserve"> </w:t>
      </w:r>
      <w:r w:rsidRPr="00F91DCF">
        <w:rPr>
          <w:rFonts w:eastAsia="TimesNewRomanPS-BoldMT" w:cs="TimesNewRomanPS-BoldMT"/>
          <w:b/>
          <w:bCs/>
        </w:rPr>
        <w:t>ugualmente comprovati nel caso di dichiarazione del possesso di attestazione SOA per</w:t>
      </w:r>
      <w:r w:rsidR="006D12A5">
        <w:rPr>
          <w:rFonts w:eastAsia="TimesNewRomanPS-BoldMT" w:cs="TimesNewRomanPS-BoldMT"/>
          <w:b/>
          <w:bCs/>
        </w:rPr>
        <w:t xml:space="preserve"> </w:t>
      </w:r>
      <w:r w:rsidRPr="00F91DCF">
        <w:rPr>
          <w:rFonts w:eastAsia="TimesNewRomanPS-BoldMT" w:cs="TimesNewRomanPS-BoldMT"/>
          <w:b/>
          <w:bCs/>
        </w:rPr>
        <w:t>categoria adeguata ai lavori da assumere in subappalto).</w:t>
      </w:r>
    </w:p>
    <w:p w:rsidR="00E95298" w:rsidRDefault="00E95298" w:rsidP="00F91DC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-BoldMT"/>
          <w:b/>
          <w:bCs/>
        </w:rPr>
      </w:pPr>
    </w:p>
    <w:p w:rsidR="00DB53C6" w:rsidRPr="00F91DCF" w:rsidRDefault="00E95298" w:rsidP="00F91DC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L’impresa appaltatrice è</w:t>
      </w:r>
      <w:r w:rsidR="00DB53C6" w:rsidRPr="00F91DCF">
        <w:rPr>
          <w:rFonts w:eastAsia="TimesNewRomanPS-BoldMT" w:cs="TimesNewRomanPS-BoldMT"/>
          <w:b/>
          <w:bCs/>
        </w:rPr>
        <w:t xml:space="preserve"> tenuta, inoltre :</w:t>
      </w:r>
    </w:p>
    <w:p w:rsidR="00DB53C6" w:rsidRPr="00F91DCF" w:rsidRDefault="00DB53C6" w:rsidP="00F91DC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  <w:r w:rsidRPr="00F91DCF">
        <w:rPr>
          <w:rFonts w:eastAsia="TimesNewRomanPS-BoldMT" w:cs="TimesNewRomanPSMT"/>
        </w:rPr>
        <w:t xml:space="preserve">(1) </w:t>
      </w:r>
      <w:r w:rsidRPr="00F91DCF">
        <w:rPr>
          <w:rFonts w:eastAsia="TimesNewRomanPS-BoldMT" w:cs="TimesNewRomanPS-BoldMT"/>
          <w:b/>
          <w:bCs/>
        </w:rPr>
        <w:t xml:space="preserve">a presentare </w:t>
      </w:r>
      <w:r w:rsidRPr="00F91DCF">
        <w:rPr>
          <w:rFonts w:eastAsia="TimesNewRomanPS-BoldMT" w:cs="TimesNewRomanPSMT"/>
        </w:rPr>
        <w:t>il Piano operativo della sicurezza (ex D.lgs. n. 81/2008) firmato dal Legale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rappresentante e dal Direttore tecnico dell’impresa subappaltatrice, controfirmato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dall’appaltatore;</w:t>
      </w:r>
    </w:p>
    <w:p w:rsidR="00AA6BAA" w:rsidRPr="00AA6BAA" w:rsidRDefault="00DB53C6" w:rsidP="00AA6BA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  <w:r w:rsidRPr="00300F65">
        <w:rPr>
          <w:rFonts w:eastAsia="TimesNewRomanPS-BoldMT" w:cs="TimesNewRomanPS-BoldMT"/>
          <w:b/>
          <w:bCs/>
        </w:rPr>
        <w:t>(2) a</w:t>
      </w:r>
      <w:r w:rsidR="00AA6BAA">
        <w:rPr>
          <w:rFonts w:eastAsia="TimesNewRomanPS-BoldMT" w:cs="TimesNewRomanPS-BoldMT"/>
          <w:b/>
          <w:bCs/>
        </w:rPr>
        <w:t xml:space="preserve"> produrre </w:t>
      </w:r>
      <w:r w:rsidR="00AA6BAA" w:rsidRPr="00AA6BAA">
        <w:rPr>
          <w:rFonts w:eastAsia="TimesNewRomanPS-BoldMT" w:cs="TimesNewRomanPS-BoldMT"/>
          <w:bCs/>
        </w:rPr>
        <w:t xml:space="preserve">copia del </w:t>
      </w:r>
      <w:r w:rsidR="00300F65" w:rsidRPr="00300F65">
        <w:rPr>
          <w:rFonts w:eastAsia="Times New Roman" w:cs="Times New Roman"/>
          <w:lang w:eastAsia="it-IT"/>
        </w:rPr>
        <w:t xml:space="preserve">Protocollo di Legalità della Prefettura di Parma, sottoscritto da </w:t>
      </w:r>
      <w:proofErr w:type="spellStart"/>
      <w:r w:rsidR="00300F65" w:rsidRPr="00300F65">
        <w:rPr>
          <w:rFonts w:eastAsia="Times New Roman" w:cs="Times New Roman"/>
          <w:lang w:eastAsia="it-IT"/>
        </w:rPr>
        <w:t>AIPo</w:t>
      </w:r>
      <w:proofErr w:type="spellEnd"/>
      <w:r w:rsidR="00300F65" w:rsidRPr="00300F65">
        <w:rPr>
          <w:rFonts w:eastAsia="Times New Roman" w:cs="Times New Roman"/>
          <w:lang w:eastAsia="it-IT"/>
        </w:rPr>
        <w:t xml:space="preserve"> in data 11/07/2016, visionabile e scaricabile dal sito www.agenziapo.it, sezione “Amministrazione Trasparente” – </w:t>
      </w:r>
      <w:proofErr w:type="spellStart"/>
      <w:r w:rsidR="00300F65" w:rsidRPr="00300F65">
        <w:rPr>
          <w:rFonts w:eastAsia="Times New Roman" w:cs="Times New Roman"/>
          <w:lang w:eastAsia="it-IT"/>
        </w:rPr>
        <w:t>sottosez</w:t>
      </w:r>
      <w:proofErr w:type="spellEnd"/>
      <w:r w:rsidR="00300F65" w:rsidRPr="00300F65">
        <w:rPr>
          <w:rFonts w:eastAsia="Times New Roman" w:cs="Times New Roman"/>
          <w:lang w:eastAsia="it-IT"/>
        </w:rPr>
        <w:t>. “Bandi di gara e contratti”,</w:t>
      </w:r>
      <w:r w:rsidR="00300F65">
        <w:rPr>
          <w:rFonts w:eastAsia="Times New Roman" w:cs="Times New Roman"/>
          <w:lang w:eastAsia="it-IT"/>
        </w:rPr>
        <w:t xml:space="preserve"> sottoscritto dal subappaltatore per accettazione;</w:t>
      </w:r>
    </w:p>
    <w:p w:rsidR="00DB53C6" w:rsidRPr="00F91DCF" w:rsidRDefault="00DB53C6" w:rsidP="00F91DC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-BoldMT"/>
          <w:b/>
          <w:bCs/>
        </w:rPr>
      </w:pPr>
      <w:r w:rsidRPr="00F91DCF">
        <w:rPr>
          <w:rFonts w:eastAsia="TimesNewRomanPS-BoldMT" w:cs="TimesNewRomanPS-BoldMT"/>
          <w:b/>
          <w:bCs/>
        </w:rPr>
        <w:t xml:space="preserve">(3) a inserire </w:t>
      </w:r>
      <w:r w:rsidRPr="00F91DCF">
        <w:rPr>
          <w:rFonts w:eastAsia="TimesNewRomanPS-BoldMT" w:cs="TimesNewRomanPSMT"/>
        </w:rPr>
        <w:t xml:space="preserve">nel contratto di subappalto, </w:t>
      </w:r>
      <w:r w:rsidR="00E95298">
        <w:rPr>
          <w:rFonts w:eastAsia="TimesNewRomanPS-BoldMT" w:cs="TimesNewRomanPS-BoldMT"/>
          <w:b/>
          <w:bCs/>
        </w:rPr>
        <w:t>a pena di nullità</w:t>
      </w:r>
      <w:r w:rsidRPr="00F91DCF">
        <w:rPr>
          <w:rFonts w:eastAsia="TimesNewRomanPS-BoldMT" w:cs="TimesNewRomanPS-BoldMT"/>
          <w:b/>
          <w:bCs/>
        </w:rPr>
        <w:t xml:space="preserve">, </w:t>
      </w:r>
      <w:r w:rsidRPr="00F91DCF">
        <w:rPr>
          <w:rFonts w:eastAsia="TimesNewRomanPS-BoldMT" w:cs="TimesNewRomanPSMT"/>
        </w:rPr>
        <w:t xml:space="preserve">la seguente clausola, </w:t>
      </w:r>
      <w:r w:rsidRPr="00F91DCF">
        <w:rPr>
          <w:rFonts w:eastAsia="TimesNewRomanPS-BoldMT" w:cs="TimesNewRomanPS-BoldMT"/>
          <w:b/>
          <w:bCs/>
        </w:rPr>
        <w:t>con la quale</w:t>
      </w:r>
      <w:r w:rsidR="006D12A5">
        <w:rPr>
          <w:rFonts w:eastAsia="TimesNewRomanPS-BoldMT" w:cs="TimesNewRomanPS-BoldMT"/>
          <w:b/>
          <w:bCs/>
        </w:rPr>
        <w:t xml:space="preserve"> </w:t>
      </w:r>
      <w:r w:rsidRPr="00F91DCF">
        <w:rPr>
          <w:rFonts w:eastAsia="TimesNewRomanPS-BoldMT" w:cs="TimesNewRomanPS-BoldMT"/>
          <w:b/>
          <w:bCs/>
        </w:rPr>
        <w:t>il subappaltatore assu</w:t>
      </w:r>
      <w:r w:rsidR="00E95298">
        <w:rPr>
          <w:rFonts w:eastAsia="TimesNewRomanPS-BoldMT" w:cs="TimesNewRomanPS-BoldMT"/>
          <w:b/>
          <w:bCs/>
        </w:rPr>
        <w:t>me gli obblighi di tracciabilità</w:t>
      </w:r>
      <w:r w:rsidRPr="00F91DCF">
        <w:rPr>
          <w:rFonts w:eastAsia="TimesNewRomanPS-BoldMT" w:cs="TimesNewRomanPS-BoldMT"/>
          <w:b/>
          <w:bCs/>
        </w:rPr>
        <w:t xml:space="preserve"> dei flussi finanziari derivanti</w:t>
      </w:r>
      <w:r w:rsidR="006D12A5">
        <w:rPr>
          <w:rFonts w:eastAsia="TimesNewRomanPS-BoldMT" w:cs="TimesNewRomanPS-BoldMT"/>
          <w:b/>
          <w:bCs/>
        </w:rPr>
        <w:t xml:space="preserve"> </w:t>
      </w:r>
      <w:r w:rsidRPr="00F91DCF">
        <w:rPr>
          <w:rFonts w:eastAsia="TimesNewRomanPS-BoldMT" w:cs="TimesNewRomanPS-BoldMT"/>
          <w:b/>
          <w:bCs/>
        </w:rPr>
        <w:t>dall'art. 3 della Legge n. 136/2010:</w:t>
      </w:r>
    </w:p>
    <w:p w:rsidR="00DB53C6" w:rsidRPr="00F91DCF" w:rsidRDefault="00DB53C6" w:rsidP="00F91DC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  <w:r w:rsidRPr="00F91DCF">
        <w:rPr>
          <w:rFonts w:eastAsia="TimesNewRomanPS-BoldMT" w:cs="TimesNewRomanPS-BoldMT"/>
          <w:b/>
          <w:bCs/>
        </w:rPr>
        <w:t>“Art (...) Obblighi del subappaltatore/subcontraente relativi alla tracciabilit</w:t>
      </w:r>
      <w:r w:rsidR="00E95298">
        <w:rPr>
          <w:rFonts w:eastAsia="TimesNewRomanPS-BoldMT" w:cs="TimesNewRomanPS-BoldMT"/>
          <w:b/>
          <w:bCs/>
        </w:rPr>
        <w:t>à</w:t>
      </w:r>
      <w:r w:rsidRPr="00F91DCF">
        <w:rPr>
          <w:rFonts w:eastAsia="TimesNewRomanPS-BoldMT" w:cs="TimesNewRomanPS-BoldMT"/>
          <w:b/>
          <w:bCs/>
        </w:rPr>
        <w:t xml:space="preserve"> dei flussi</w:t>
      </w:r>
      <w:r w:rsidR="006D12A5">
        <w:rPr>
          <w:rFonts w:eastAsia="TimesNewRomanPS-BoldMT" w:cs="TimesNewRomanPS-BoldMT"/>
          <w:b/>
          <w:bCs/>
        </w:rPr>
        <w:t xml:space="preserve"> </w:t>
      </w:r>
      <w:r w:rsidRPr="00F91DCF">
        <w:rPr>
          <w:rFonts w:eastAsia="TimesNewRomanPS-BoldMT" w:cs="TimesNewRomanPS-BoldMT"/>
          <w:b/>
          <w:bCs/>
        </w:rPr>
        <w:t>finanziari</w:t>
      </w:r>
      <w:r w:rsidR="006D12A5">
        <w:rPr>
          <w:rFonts w:eastAsia="TimesNewRomanPS-BoldMT" w:cs="TimesNewRomanPS-BoldMT"/>
          <w:b/>
          <w:bCs/>
        </w:rPr>
        <w:t xml:space="preserve"> </w:t>
      </w:r>
      <w:r w:rsidRPr="00F91DCF">
        <w:rPr>
          <w:rFonts w:eastAsia="TimesNewRomanPS-BoldMT" w:cs="TimesNewRomanPSMT"/>
        </w:rPr>
        <w:t>- L'impresa (...), in qualità di subappaltatore/subcontraente dell'impresa (...) nell'ambito del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contratto sottoscritto con l'Ente (...), identificato con il CIG n. (...) /CUP n. (...), assume tutti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gli obblighi di tracciabilità dei flussi finanziari di cui all'articolo 3 della legge 13 agosto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2010 n. 136 e successive modifiche.</w:t>
      </w:r>
    </w:p>
    <w:p w:rsidR="00DB53C6" w:rsidRPr="00F91DCF" w:rsidRDefault="00DB53C6" w:rsidP="00F91DC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  <w:r w:rsidRPr="00F91DCF">
        <w:rPr>
          <w:rFonts w:eastAsia="TimesNewRomanPS-BoldMT" w:cs="TimesNewRomanPSMT"/>
        </w:rPr>
        <w:t>- L'impresa (...), in qualità di subappaltatore/subcontraente dell'impresa (...), si impegna a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dare immediata comunicazione all'Ente (...) della notizia dell'inadempimento della propria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controparte agli obblighi di tracciabilità finanziaria.</w:t>
      </w:r>
    </w:p>
    <w:p w:rsidR="00DB53C6" w:rsidRPr="00F91DCF" w:rsidRDefault="00DB53C6" w:rsidP="00F91DC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  <w:r w:rsidRPr="00F91DCF">
        <w:rPr>
          <w:rFonts w:eastAsia="TimesNewRomanPS-BoldMT" w:cs="TimesNewRomanPSMT"/>
        </w:rPr>
        <w:t>- L'impresa (...), in qualità di subappaltatore/subcontraente dell'impresa (...), si impegna ad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inviare copia del presente contratto all'Ente (...)”.</w:t>
      </w:r>
    </w:p>
    <w:p w:rsidR="00DB53C6" w:rsidRDefault="00DB53C6" w:rsidP="00F91DC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  <w:r w:rsidRPr="00F91DCF">
        <w:rPr>
          <w:rFonts w:eastAsia="TimesNewRomanPS-BoldMT" w:cs="TimesNewRomanPSMT"/>
        </w:rPr>
        <w:t xml:space="preserve">Il contratto di subappalto, qualora stipulato prima del rilascio dell’autorizzazione </w:t>
      </w:r>
      <w:r w:rsidR="00632741">
        <w:rPr>
          <w:rFonts w:eastAsia="TimesNewRomanPS-BoldMT" w:cs="TimesNewRomanPSMT"/>
        </w:rPr>
        <w:t>dell’Ente</w:t>
      </w:r>
      <w:r w:rsidRPr="00F91DCF">
        <w:rPr>
          <w:rFonts w:eastAsia="TimesNewRomanPS-BoldMT" w:cs="TimesNewRomanPSMT"/>
        </w:rPr>
        <w:t xml:space="preserve">, </w:t>
      </w:r>
      <w:r w:rsidR="00E95298">
        <w:rPr>
          <w:rFonts w:eastAsia="TimesNewRomanPS-BoldMT" w:cs="TimesNewRomanPS-BoldMT"/>
          <w:b/>
          <w:bCs/>
        </w:rPr>
        <w:t>dovrà</w:t>
      </w:r>
      <w:r w:rsidR="006D12A5">
        <w:rPr>
          <w:rFonts w:eastAsia="TimesNewRomanPS-BoldMT" w:cs="TimesNewRomanPS-BoldMT"/>
          <w:b/>
          <w:bCs/>
        </w:rPr>
        <w:t xml:space="preserve"> </w:t>
      </w:r>
      <w:r w:rsidRPr="00F91DCF">
        <w:rPr>
          <w:rFonts w:eastAsia="TimesNewRomanPS-BoldMT" w:cs="TimesNewRomanPS-BoldMT"/>
          <w:b/>
          <w:bCs/>
        </w:rPr>
        <w:t>altr</w:t>
      </w:r>
      <w:r w:rsidR="00E95298">
        <w:rPr>
          <w:rFonts w:eastAsia="TimesNewRomanPS-BoldMT" w:cs="TimesNewRomanPS-BoldMT"/>
          <w:b/>
          <w:bCs/>
        </w:rPr>
        <w:t>esì contenere, a pena di nullità</w:t>
      </w:r>
      <w:r w:rsidRPr="00F91DCF">
        <w:rPr>
          <w:rFonts w:eastAsia="TimesNewRomanPS-BoldMT" w:cs="TimesNewRomanPS-BoldMT"/>
          <w:b/>
          <w:bCs/>
        </w:rPr>
        <w:t xml:space="preserve">, </w:t>
      </w:r>
      <w:r w:rsidRPr="00F91DCF">
        <w:rPr>
          <w:rFonts w:eastAsia="TimesNewRomanPS-BoldMT" w:cs="TimesNewRomanPSMT"/>
        </w:rPr>
        <w:t>la clausola secondo cui la sua efficacia è sottoposta alla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condizione sospensiva del rilascio dell'autorizzazione medesima, ai sensi dell'art. 105 del</w:t>
      </w:r>
      <w:r w:rsidR="006D12A5">
        <w:rPr>
          <w:rFonts w:eastAsia="TimesNewRomanPS-BoldMT" w:cs="TimesNewRomanPSMT"/>
        </w:rPr>
        <w:t xml:space="preserve"> </w:t>
      </w:r>
      <w:proofErr w:type="spellStart"/>
      <w:r w:rsidRPr="00F91DCF">
        <w:rPr>
          <w:rFonts w:eastAsia="TimesNewRomanPS-BoldMT" w:cs="TimesNewRomanPSMT"/>
        </w:rPr>
        <w:t>Dlgs</w:t>
      </w:r>
      <w:proofErr w:type="spellEnd"/>
      <w:r w:rsidRPr="00F91DCF">
        <w:rPr>
          <w:rFonts w:eastAsia="TimesNewRomanPS-BoldMT" w:cs="TimesNewRomanPSMT"/>
        </w:rPr>
        <w:t xml:space="preserve"> 50/2016</w:t>
      </w:r>
      <w:r w:rsidR="00931B69">
        <w:rPr>
          <w:rFonts w:eastAsia="TimesNewRomanPS-BoldMT" w:cs="TimesNewRomanPSMT"/>
        </w:rPr>
        <w:t xml:space="preserve"> e </w:t>
      </w:r>
      <w:proofErr w:type="spellStart"/>
      <w:r w:rsidR="00931B69">
        <w:rPr>
          <w:rFonts w:eastAsia="TimesNewRomanPS-BoldMT" w:cs="TimesNewRomanPSMT"/>
        </w:rPr>
        <w:t>s.m.i.</w:t>
      </w:r>
      <w:proofErr w:type="spellEnd"/>
    </w:p>
    <w:p w:rsidR="006D12A5" w:rsidRPr="00F91DCF" w:rsidRDefault="006D12A5" w:rsidP="00F91DC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</w:p>
    <w:p w:rsidR="00DB53C6" w:rsidRPr="00F91DCF" w:rsidRDefault="00DB53C6" w:rsidP="00F91DC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-BoldMT"/>
          <w:b/>
          <w:bCs/>
        </w:rPr>
      </w:pPr>
      <w:r w:rsidRPr="00F91DCF">
        <w:rPr>
          <w:rFonts w:eastAsia="TimesNewRomanPS-BoldMT" w:cs="TimesNewRomanPS-BoldMT"/>
          <w:b/>
          <w:bCs/>
        </w:rPr>
        <w:t>ANTIMAFIA</w:t>
      </w:r>
    </w:p>
    <w:p w:rsidR="00DB53C6" w:rsidRPr="00F91DCF" w:rsidRDefault="00DB53C6" w:rsidP="00F91DC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  <w:r w:rsidRPr="00F91DCF">
        <w:rPr>
          <w:rFonts w:eastAsia="TimesNewRomanPS-BoldMT" w:cs="TimesNewRomanPS-BoldMT"/>
          <w:b/>
          <w:bCs/>
        </w:rPr>
        <w:t>N.B.</w:t>
      </w:r>
      <w:r w:rsidRPr="00F91DCF">
        <w:rPr>
          <w:rFonts w:eastAsia="TimesNewRomanPS-BoldMT" w:cs="TimesNewRomanPSMT"/>
        </w:rPr>
        <w:t>: come p</w:t>
      </w:r>
      <w:r w:rsidR="00AA6BAA">
        <w:rPr>
          <w:rFonts w:eastAsia="TimesNewRomanPS-BoldMT" w:cs="TimesNewRomanPSMT"/>
        </w:rPr>
        <w:t>revisto nel Protocollo di legalità</w:t>
      </w:r>
      <w:r w:rsidRPr="00F91DCF">
        <w:rPr>
          <w:rFonts w:eastAsia="TimesNewRomanPS-BoldMT" w:cs="TimesNewRomanPSMT"/>
        </w:rPr>
        <w:t xml:space="preserve"> per la prevenzione dei tentativi di infiltrazione della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criminalità organizzata nel settore degli appalti e concessione di lavori pubblici, se il subappalto:</w:t>
      </w:r>
    </w:p>
    <w:p w:rsidR="00DB53C6" w:rsidRPr="00F91DCF" w:rsidRDefault="00DB53C6" w:rsidP="00F91DC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  <w:r w:rsidRPr="00F91DCF">
        <w:rPr>
          <w:rFonts w:ascii="MS Gothic" w:eastAsia="MS Gothic" w:hAnsi="MS Gothic" w:cs="MS Gothic" w:hint="eastAsia"/>
        </w:rPr>
        <w:lastRenderedPageBreak/>
        <w:t>➔</w:t>
      </w:r>
      <w:r w:rsidRPr="00F91DCF">
        <w:rPr>
          <w:rFonts w:eastAsia="TimesNewRomanPS-BoldMT" w:cs="OpenSymbol"/>
        </w:rPr>
        <w:t xml:space="preserve"> </w:t>
      </w:r>
      <w:r w:rsidRPr="00F91DCF">
        <w:rPr>
          <w:rFonts w:eastAsia="TimesNewRomanPS-BoldMT" w:cs="TimesNewRomanPSMT"/>
        </w:rPr>
        <w:t>è di importo superiore a €. 50.000,00</w:t>
      </w:r>
    </w:p>
    <w:p w:rsidR="00DB53C6" w:rsidRPr="00F91DCF" w:rsidRDefault="00DB53C6" w:rsidP="00F91DC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</w:rPr>
      </w:pPr>
      <w:r w:rsidRPr="00F91DCF">
        <w:rPr>
          <w:rFonts w:ascii="MS Gothic" w:eastAsia="MS Gothic" w:hAnsi="MS Gothic" w:cs="MS Gothic" w:hint="eastAsia"/>
        </w:rPr>
        <w:t>➔</w:t>
      </w:r>
      <w:r w:rsidRPr="00F91DCF">
        <w:rPr>
          <w:rFonts w:eastAsia="TimesNewRomanPS-BoldMT" w:cs="OpenSymbol"/>
        </w:rPr>
        <w:t xml:space="preserve"> </w:t>
      </w:r>
      <w:r w:rsidRPr="00F91DCF">
        <w:rPr>
          <w:rFonts w:eastAsia="TimesNewRomanPS-BoldMT" w:cs="TimesNewRomanPSMT"/>
        </w:rPr>
        <w:t>e, in ogni caso, indipendentemente dal valore, per le seguenti forniture e servizi “sensibili”: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trasporto di materiali a discarica per conto di terzi; trasporto, anche transfrontaliero, e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smaltimento di rifiuti per conto di terzi; estrazione, fornitura e trasporto di terra e materiali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inerti; confezionamento, fornitura e trasporto di calcestruzzo e di bitume; noli a freddo di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macchinari; fornitura di ferro lavorato; noli a caldo; autotrasporti per conto di terzi;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guardiania dei cantieri (art. 1 comma 53 Legge 190/2012),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 xml:space="preserve">occorre attivare la procedura per l'informazione del Prefetto, ai sensi dell'art. 92 del </w:t>
      </w:r>
      <w:proofErr w:type="spellStart"/>
      <w:r w:rsidRPr="00F91DCF">
        <w:rPr>
          <w:rFonts w:eastAsia="TimesNewRomanPS-BoldMT" w:cs="TimesNewRomanPSMT"/>
        </w:rPr>
        <w:t>Dlgs</w:t>
      </w:r>
      <w:proofErr w:type="spellEnd"/>
      <w:r w:rsidRPr="00F91DCF">
        <w:rPr>
          <w:rFonts w:eastAsia="TimesNewRomanPS-BoldMT" w:cs="TimesNewRomanPSMT"/>
        </w:rPr>
        <w:t>. 159/2011,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mediante la Banca Dati Nazionale Unica Antimafia (BDNA), i cui termini per il rilascio sono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previsti in 30 giorni: si comunica pertanto, sin d'ora, che i termini per il rilascio dell'autorizzazione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 xml:space="preserve">del subappalto previsti dall'art. 105 comma 18 del </w:t>
      </w:r>
      <w:proofErr w:type="spellStart"/>
      <w:r w:rsidRPr="00F91DCF">
        <w:rPr>
          <w:rFonts w:eastAsia="TimesNewRomanPS-BoldMT" w:cs="TimesNewRomanPSMT"/>
        </w:rPr>
        <w:t>Dlgs</w:t>
      </w:r>
      <w:proofErr w:type="spellEnd"/>
      <w:r w:rsidRPr="00F91DCF">
        <w:rPr>
          <w:rFonts w:eastAsia="TimesNewRomanPS-BoldMT" w:cs="TimesNewRomanPSMT"/>
        </w:rPr>
        <w:t>. 50/2016</w:t>
      </w:r>
      <w:r w:rsidR="00931B69">
        <w:rPr>
          <w:rFonts w:eastAsia="TimesNewRomanPS-BoldMT" w:cs="TimesNewRomanPSMT"/>
        </w:rPr>
        <w:t xml:space="preserve"> e </w:t>
      </w:r>
      <w:proofErr w:type="spellStart"/>
      <w:r w:rsidR="00931B69">
        <w:rPr>
          <w:rFonts w:eastAsia="TimesNewRomanPS-BoldMT" w:cs="TimesNewRomanPSMT"/>
        </w:rPr>
        <w:t>s.m.i.</w:t>
      </w:r>
      <w:proofErr w:type="spellEnd"/>
      <w:r w:rsidRPr="00F91DCF">
        <w:rPr>
          <w:rFonts w:eastAsia="TimesNewRomanPS-BoldMT" w:cs="TimesNewRomanPSMT"/>
        </w:rPr>
        <w:t xml:space="preserve"> sono sospesi fino all'avvenuta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comunicazione delle informazione del Prefetto, salvo i casi di urgenza.</w:t>
      </w:r>
    </w:p>
    <w:p w:rsidR="00E00630" w:rsidRPr="00F91DCF" w:rsidRDefault="00DB53C6" w:rsidP="006D12A5">
      <w:pPr>
        <w:autoSpaceDE w:val="0"/>
        <w:autoSpaceDN w:val="0"/>
        <w:adjustRightInd w:val="0"/>
        <w:spacing w:after="0" w:line="240" w:lineRule="auto"/>
        <w:jc w:val="both"/>
      </w:pPr>
      <w:r w:rsidRPr="00F91DCF">
        <w:rPr>
          <w:rFonts w:eastAsia="TimesNewRomanPS-BoldMT" w:cs="TimesNewRomanPSMT"/>
        </w:rPr>
        <w:t>E' comunque sempre attivabile la verifica delle White List contro le infiltrazioni mafiose (Legge</w:t>
      </w:r>
      <w:r w:rsidR="006D12A5">
        <w:rPr>
          <w:rFonts w:eastAsia="TimesNewRomanPS-BoldMT" w:cs="TimesNewRomanPSMT"/>
        </w:rPr>
        <w:t xml:space="preserve"> </w:t>
      </w:r>
      <w:r w:rsidRPr="00F91DCF">
        <w:rPr>
          <w:rFonts w:eastAsia="TimesNewRomanPS-BoldMT" w:cs="TimesNewRomanPSMT"/>
        </w:rPr>
        <w:t>190/2012, art. 1, commi dal 52 al 57 e DPCM 18 aprile 2013).</w:t>
      </w:r>
    </w:p>
    <w:sectPr w:rsidR="00E00630" w:rsidRPr="00F91DCF" w:rsidSect="00F91DCF">
      <w:footerReference w:type="default" r:id="rId9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630" w:rsidRDefault="00E00630" w:rsidP="00F91DCF">
      <w:pPr>
        <w:spacing w:after="0" w:line="240" w:lineRule="auto"/>
      </w:pPr>
      <w:r>
        <w:separator/>
      </w:r>
    </w:p>
  </w:endnote>
  <w:endnote w:type="continuationSeparator" w:id="0">
    <w:p w:rsidR="00E00630" w:rsidRDefault="00E00630" w:rsidP="00F9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36984"/>
      <w:docPartObj>
        <w:docPartGallery w:val="Page Numbers (Bottom of Page)"/>
        <w:docPartUnique/>
      </w:docPartObj>
    </w:sdtPr>
    <w:sdtEndPr/>
    <w:sdtContent>
      <w:p w:rsidR="007A3807" w:rsidRDefault="007A380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1F4">
          <w:rPr>
            <w:noProof/>
          </w:rPr>
          <w:t>1</w:t>
        </w:r>
        <w:r>
          <w:fldChar w:fldCharType="end"/>
        </w:r>
      </w:p>
    </w:sdtContent>
  </w:sdt>
  <w:p w:rsidR="007A3807" w:rsidRDefault="007A38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630" w:rsidRDefault="00E00630" w:rsidP="00F91DCF">
      <w:pPr>
        <w:spacing w:after="0" w:line="240" w:lineRule="auto"/>
      </w:pPr>
      <w:r>
        <w:separator/>
      </w:r>
    </w:p>
  </w:footnote>
  <w:footnote w:type="continuationSeparator" w:id="0">
    <w:p w:rsidR="00E00630" w:rsidRDefault="00E00630" w:rsidP="00F9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D37A8"/>
    <w:multiLevelType w:val="hybridMultilevel"/>
    <w:tmpl w:val="D41E38A2"/>
    <w:lvl w:ilvl="0" w:tplc="ECAC3E5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13A3B6A"/>
    <w:multiLevelType w:val="hybridMultilevel"/>
    <w:tmpl w:val="7BC6BC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1035E"/>
    <w:multiLevelType w:val="hybridMultilevel"/>
    <w:tmpl w:val="05C0F9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C2EEB"/>
    <w:multiLevelType w:val="hybridMultilevel"/>
    <w:tmpl w:val="2A545758"/>
    <w:lvl w:ilvl="0" w:tplc="33D87140">
      <w:start w:val="1"/>
      <w:numFmt w:val="decimal"/>
      <w:lvlText w:val="%1)"/>
      <w:lvlJc w:val="left"/>
      <w:pPr>
        <w:ind w:left="6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4">
    <w:nsid w:val="639D55A5"/>
    <w:multiLevelType w:val="hybridMultilevel"/>
    <w:tmpl w:val="17D00F8E"/>
    <w:lvl w:ilvl="0" w:tplc="AC3C27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317DD"/>
    <w:multiLevelType w:val="hybridMultilevel"/>
    <w:tmpl w:val="6DCA53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13527"/>
    <w:multiLevelType w:val="hybridMultilevel"/>
    <w:tmpl w:val="7E90EABE"/>
    <w:lvl w:ilvl="0" w:tplc="D83898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3583D"/>
    <w:multiLevelType w:val="hybridMultilevel"/>
    <w:tmpl w:val="819A56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C6"/>
    <w:rsid w:val="00060B73"/>
    <w:rsid w:val="000D40B9"/>
    <w:rsid w:val="002003F7"/>
    <w:rsid w:val="00300F65"/>
    <w:rsid w:val="003B01F4"/>
    <w:rsid w:val="004055CE"/>
    <w:rsid w:val="005F6949"/>
    <w:rsid w:val="00632741"/>
    <w:rsid w:val="00673E04"/>
    <w:rsid w:val="006D12A5"/>
    <w:rsid w:val="006F2E92"/>
    <w:rsid w:val="007863CB"/>
    <w:rsid w:val="007A3807"/>
    <w:rsid w:val="00846B5E"/>
    <w:rsid w:val="00931B69"/>
    <w:rsid w:val="009B4D61"/>
    <w:rsid w:val="009E4038"/>
    <w:rsid w:val="00A62032"/>
    <w:rsid w:val="00AA6BAA"/>
    <w:rsid w:val="00D07F28"/>
    <w:rsid w:val="00D94983"/>
    <w:rsid w:val="00D94CA8"/>
    <w:rsid w:val="00DB53C6"/>
    <w:rsid w:val="00E00630"/>
    <w:rsid w:val="00E27389"/>
    <w:rsid w:val="00E95298"/>
    <w:rsid w:val="00F9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1D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DCF"/>
  </w:style>
  <w:style w:type="paragraph" w:styleId="Pidipagina">
    <w:name w:val="footer"/>
    <w:basedOn w:val="Normale"/>
    <w:link w:val="PidipaginaCarattere"/>
    <w:uiPriority w:val="99"/>
    <w:unhideWhenUsed/>
    <w:rsid w:val="00F91D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DCF"/>
  </w:style>
  <w:style w:type="paragraph" w:styleId="Paragrafoelenco">
    <w:name w:val="List Paragraph"/>
    <w:basedOn w:val="Normale"/>
    <w:uiPriority w:val="34"/>
    <w:qFormat/>
    <w:rsid w:val="00F91D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1D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DCF"/>
  </w:style>
  <w:style w:type="paragraph" w:styleId="Pidipagina">
    <w:name w:val="footer"/>
    <w:basedOn w:val="Normale"/>
    <w:link w:val="PidipaginaCarattere"/>
    <w:uiPriority w:val="99"/>
    <w:unhideWhenUsed/>
    <w:rsid w:val="00F91D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DCF"/>
  </w:style>
  <w:style w:type="paragraph" w:styleId="Paragrafoelenco">
    <w:name w:val="List Paragraph"/>
    <w:basedOn w:val="Normale"/>
    <w:uiPriority w:val="34"/>
    <w:qFormat/>
    <w:rsid w:val="00F91D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coppamaria</dc:creator>
  <cp:lastModifiedBy>gozzimariarosa</cp:lastModifiedBy>
  <cp:revision>9</cp:revision>
  <cp:lastPrinted>2019-06-12T11:17:00Z</cp:lastPrinted>
  <dcterms:created xsi:type="dcterms:W3CDTF">2017-06-15T06:15:00Z</dcterms:created>
  <dcterms:modified xsi:type="dcterms:W3CDTF">2019-08-20T10:03:00Z</dcterms:modified>
</cp:coreProperties>
</file>