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347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199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22"/>
        <w:gridCol w:w="786"/>
        <w:gridCol w:w="673"/>
        <w:gridCol w:w="112"/>
        <w:gridCol w:w="499"/>
        <w:gridCol w:w="140"/>
        <w:gridCol w:w="69"/>
        <w:gridCol w:w="849"/>
        <w:gridCol w:w="807"/>
        <w:gridCol w:w="328"/>
        <w:gridCol w:w="282"/>
        <w:gridCol w:w="64"/>
        <w:gridCol w:w="63"/>
        <w:gridCol w:w="98"/>
        <w:gridCol w:w="818"/>
        <w:gridCol w:w="423"/>
        <w:gridCol w:w="245"/>
        <w:gridCol w:w="144"/>
        <w:gridCol w:w="142"/>
        <w:gridCol w:w="479"/>
        <w:gridCol w:w="1610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639"/>
                      <wp:lineTo x="21273" y="20639"/>
                      <wp:lineTo x="21273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000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27149</w:t>
            </w: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</w:rPr>
              <w:t>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29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/2020</w:t>
            </w:r>
          </w:p>
        </w:tc>
        <w:tc>
          <w:tcPr>
            <w:tcW w:w="17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 xml:space="preserve">Tipologia : </w:t>
            </w:r>
            <w:r>
              <w:rPr>
                <w:rFonts w:eastAsia="Times New Roman" w:cs="Calibri" w:ascii="Calibri" w:hAnsi="Calibri"/>
                <w:i/>
                <w:color w:val="auto"/>
                <w:kern w:val="2"/>
                <w:sz w:val="22"/>
                <w:szCs w:val="22"/>
                <w:lang w:val="it-IT" w:eastAsia="en-US" w:bidi="hi-IN"/>
              </w:rPr>
              <w:t>rinnovo concessione</w:t>
            </w:r>
          </w:p>
        </w:tc>
        <w:tc>
          <w:tcPr>
            <w:tcW w:w="14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402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Associazione Gruppo Nautico Mottese</w:t>
            </w:r>
          </w:p>
        </w:tc>
      </w:tr>
      <w:tr>
        <w:trPr/>
        <w:tc>
          <w:tcPr>
            <w:tcW w:w="12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MOTTA VISCONTI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Provincia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  <w:t>MI</w:t>
            </w:r>
          </w:p>
        </w:tc>
      </w:tr>
      <w:tr>
        <w:trPr/>
        <w:tc>
          <w:tcPr>
            <w:tcW w:w="12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0"/>
                <w:u w:val="none"/>
                <w:em w:val="none"/>
                <w:lang w:val="it-IT" w:eastAsia="hi-IN" w:bidi="hi-IN"/>
              </w:rPr>
              <w:t>Guado della signora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 xml:space="preserve">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12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MOTTA VISCONTI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10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44/45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1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2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526,40</w:t>
            </w:r>
          </w:p>
        </w:tc>
        <w:tc>
          <w:tcPr>
            <w:tcW w:w="9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8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114,00</w:t>
            </w:r>
          </w:p>
        </w:tc>
      </w:tr>
      <w:tr>
        <w:trPr/>
        <w:tc>
          <w:tcPr>
            <w:tcW w:w="201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173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.20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24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Direzione 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34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LibreOffice/7.0.3.1$Windows_X86_64 LibreOffice_project/d7547858d014d4cf69878db179d326fc3483e082</Application>
  <Pages>1</Pages>
  <Words>145</Words>
  <Characters>917</Characters>
  <CharactersWithSpaces>1023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2021-02-26T08:28:14Z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