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Fasc.  114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4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30"/>
        <w:gridCol w:w="786"/>
        <w:gridCol w:w="665"/>
        <w:gridCol w:w="112"/>
        <w:gridCol w:w="499"/>
        <w:gridCol w:w="140"/>
        <w:gridCol w:w="69"/>
        <w:gridCol w:w="849"/>
        <w:gridCol w:w="807"/>
        <w:gridCol w:w="328"/>
        <w:gridCol w:w="282"/>
        <w:gridCol w:w="127"/>
        <w:gridCol w:w="98"/>
        <w:gridCol w:w="357"/>
        <w:gridCol w:w="461"/>
        <w:gridCol w:w="423"/>
        <w:gridCol w:w="237"/>
        <w:gridCol w:w="147"/>
        <w:gridCol w:w="139"/>
        <w:gridCol w:w="487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60"/>
                      <wp:lineTo x="21303" y="20760"/>
                      <wp:lineTo x="21303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sz w:val="20"/>
                <w:szCs w:val="20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000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0"/>
                <w:szCs w:val="20"/>
                <w:lang w:val="it-IT" w:eastAsia="hi-IN" w:bidi="hi-IN"/>
              </w:rPr>
              <w:t>30022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7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11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/2020</w:t>
            </w:r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Tipologia : Nuova concessione</w:t>
            </w:r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Ass.ne Ramo dei Boggetti SSL</w:t>
            </w:r>
          </w:p>
        </w:tc>
      </w:tr>
      <w:tr>
        <w:trPr/>
        <w:tc>
          <w:tcPr>
            <w:tcW w:w="12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Abbiategrasso</w:t>
            </w:r>
          </w:p>
        </w:tc>
        <w:tc>
          <w:tcPr>
            <w:tcW w:w="1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MI</w:t>
            </w:r>
          </w:p>
        </w:tc>
      </w:tr>
      <w:tr>
        <w:trPr/>
        <w:tc>
          <w:tcPr>
            <w:tcW w:w="12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Abbiategrasso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front.</w:t>
            </w: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109/115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1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 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260,00</w:t>
            </w:r>
          </w:p>
        </w:tc>
        <w:tc>
          <w:tcPr>
            <w:tcW w:w="94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bookmarkStart w:id="0" w:name="_GoBack"/>
            <w:bookmarkEnd w:id="0"/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136,00</w:t>
            </w:r>
          </w:p>
        </w:tc>
      </w:tr>
      <w:tr>
        <w:trPr/>
        <w:tc>
          <w:tcPr>
            <w:tcW w:w="20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.203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LibreOffice/7.0.3.1$Windows_X86_64 LibreOffice_project/d7547858d014d4cf69878db179d326fc3483e082</Application>
  <Pages>1</Pages>
  <Words>140</Words>
  <Characters>884</Characters>
  <CharactersWithSpaces>985</CharactersWithSpaces>
  <Paragraphs>45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2020-12-10T08:28:32Z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