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65" w:rsidRDefault="00C74165" w:rsidP="00F013A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bookmarkStart w:id="0" w:name="_GoBack"/>
      <w:bookmarkEnd w:id="0"/>
    </w:p>
    <w:p w:rsidR="00C74165" w:rsidRDefault="00F013A9" w:rsidP="00F013A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</w:rPr>
        <w:t xml:space="preserve">PPRD South 3 Regional Workshops on “Towards a common regional approach for the development of national capacities of risk monitoring, early detection of critical situations, set up and management of early warning systems (EWS) and elaboration of emergency </w:t>
      </w:r>
      <w:r>
        <w:rPr>
          <w:rFonts w:ascii="Arial" w:eastAsia="Arial" w:hAnsi="Arial" w:cs="Arial"/>
          <w:b/>
          <w:smallCaps/>
          <w:color w:val="000000"/>
          <w:sz w:val="28"/>
          <w:szCs w:val="28"/>
        </w:rPr>
        <w:t>plans including procedures for inter-agency operational management support”.</w:t>
      </w:r>
    </w:p>
    <w:p w:rsidR="00C74165" w:rsidRDefault="00C74165" w:rsidP="00F013A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C74165" w:rsidRDefault="00F013A9" w:rsidP="00F013A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>22-24 October 2019</w:t>
      </w:r>
    </w:p>
    <w:p w:rsidR="00C74165" w:rsidRDefault="00F013A9" w:rsidP="00F013A9">
      <w:pPr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ind w:left="0" w:hanging="2"/>
        <w:jc w:val="center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smallCaps/>
          <w:color w:val="000000"/>
          <w:u w:val="single"/>
        </w:rPr>
        <w:t xml:space="preserve">Italian Civil Protection Department, Rome </w:t>
      </w:r>
    </w:p>
    <w:p w:rsidR="00C74165" w:rsidRDefault="00C74165" w:rsidP="00F013A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74165" w:rsidRDefault="00F013A9" w:rsidP="00F013A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  <w:u w:val="single"/>
        </w:rPr>
        <w:t>(DRAFT)</w:t>
      </w:r>
    </w:p>
    <w:p w:rsidR="00C74165" w:rsidRDefault="00C74165" w:rsidP="00F013A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C74165" w:rsidRDefault="00F013A9" w:rsidP="00F013A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  <w:u w:val="single"/>
        </w:rPr>
        <w:t>Objectives</w:t>
      </w:r>
    </w:p>
    <w:p w:rsidR="00C74165" w:rsidRDefault="00F013A9" w:rsidP="00F013A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The Regional Workshop will contribute to:</w:t>
      </w:r>
    </w:p>
    <w:p w:rsidR="00C74165" w:rsidRDefault="00F013A9" w:rsidP="00F01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increase the risk monitoring, early warning systems (EWS) management and emergency planning capacities in the PPRD South partner Countries</w:t>
      </w:r>
    </w:p>
    <w:p w:rsidR="00C74165" w:rsidRDefault="00F013A9" w:rsidP="00F01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identify, together with stakeholders a common regional approach and possible national/sub-regional actions on risk mo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nitoring, EWS and emergency planning </w:t>
      </w:r>
    </w:p>
    <w:p w:rsidR="00C74165" w:rsidRDefault="00F013A9" w:rsidP="00F01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make available existing knowledge and expertise on risk monitoring, EWS and emergency planning</w:t>
      </w:r>
    </w:p>
    <w:p w:rsidR="00C74165" w:rsidRDefault="00F013A9" w:rsidP="00F013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defining national/sub-regional work-plans for PPRD South 3 supported actions in this sector.</w:t>
      </w:r>
    </w:p>
    <w:p w:rsidR="00C74165" w:rsidRDefault="00C74165" w:rsidP="00F013A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74165" w:rsidRDefault="00F013A9" w:rsidP="00F013A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  <w:u w:val="single"/>
        </w:rPr>
        <w:t>Expected Participants</w:t>
      </w:r>
    </w:p>
    <w:p w:rsidR="00C74165" w:rsidRDefault="00F013A9" w:rsidP="00F013A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Civil P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rotection officers and representatives of scientific bodies (Meteorological Authority, Water Authority, Hydrogeological Risk Monitoring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Center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) in charge of real time hydrogeological and hydraulic risk assessment, risk monitoring, emergency planning.</w:t>
      </w:r>
    </w:p>
    <w:p w:rsidR="00C74165" w:rsidRDefault="00C74165" w:rsidP="00F013A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74165" w:rsidRDefault="00F013A9" w:rsidP="00F013A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br w:type="page"/>
      </w:r>
      <w:r>
        <w:rPr>
          <w:rFonts w:ascii="Arial" w:eastAsia="Arial" w:hAnsi="Arial" w:cs="Arial"/>
          <w:b/>
          <w:smallCaps/>
          <w:color w:val="000000"/>
          <w:sz w:val="24"/>
          <w:szCs w:val="24"/>
          <w:u w:val="single"/>
        </w:rPr>
        <w:lastRenderedPageBreak/>
        <w:t>Age</w:t>
      </w:r>
      <w:r>
        <w:rPr>
          <w:rFonts w:ascii="Arial" w:eastAsia="Arial" w:hAnsi="Arial" w:cs="Arial"/>
          <w:b/>
          <w:smallCaps/>
          <w:color w:val="000000"/>
          <w:sz w:val="24"/>
          <w:szCs w:val="24"/>
          <w:u w:val="single"/>
        </w:rPr>
        <w:t>nda</w:t>
      </w:r>
    </w:p>
    <w:p w:rsidR="00C74165" w:rsidRDefault="00F013A9" w:rsidP="00F013A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21 October 2019</w:t>
      </w:r>
    </w:p>
    <w:p w:rsidR="00C74165" w:rsidRDefault="00F013A9" w:rsidP="00F013A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Travel to Rome</w:t>
      </w:r>
    </w:p>
    <w:p w:rsidR="00C74165" w:rsidRDefault="00C74165" w:rsidP="00F013A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</w:rPr>
      </w:pPr>
    </w:p>
    <w:p w:rsidR="00C74165" w:rsidRDefault="00F013A9" w:rsidP="00F013A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22 October 2019</w:t>
      </w:r>
    </w:p>
    <w:p w:rsidR="00C74165" w:rsidRDefault="00F013A9" w:rsidP="00F013A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 xml:space="preserve">NH Collection Roma Centro, Via </w:t>
      </w:r>
      <w:proofErr w:type="spellStart"/>
      <w:r>
        <w:rPr>
          <w:rFonts w:ascii="Arial" w:eastAsia="Arial" w:hAnsi="Arial" w:cs="Arial"/>
          <w:b/>
          <w:smallCaps/>
          <w:color w:val="000000"/>
        </w:rPr>
        <w:t>dei</w:t>
      </w:r>
      <w:proofErr w:type="spellEnd"/>
      <w:r>
        <w:rPr>
          <w:rFonts w:ascii="Arial" w:eastAsia="Arial" w:hAnsi="Arial" w:cs="Arial"/>
          <w:b/>
          <w:smallCaps/>
          <w:color w:val="000000"/>
        </w:rPr>
        <w:t xml:space="preserve"> Gracchi 324, Roma</w:t>
      </w:r>
    </w:p>
    <w:p w:rsidR="00C74165" w:rsidRDefault="00C74165" w:rsidP="00F013A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</w:rPr>
      </w:pPr>
    </w:p>
    <w:tbl>
      <w:tblPr>
        <w:tblStyle w:val="a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686"/>
      </w:tblGrid>
      <w:tr w:rsidR="00C74165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C74165" w:rsidRDefault="00F013A9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9.00-9.15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</w:t>
            </w:r>
          </w:p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74165" w:rsidRDefault="00F013A9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9.15-9.30</w:t>
            </w:r>
          </w:p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C74165" w:rsidRDefault="00F013A9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9.30-10.00</w:t>
            </w:r>
          </w:p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74165" w:rsidRDefault="00F013A9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10.00-10.30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74165" w:rsidRDefault="00F013A9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10.30-11.00    </w:t>
            </w:r>
          </w:p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74165" w:rsidRDefault="00F013A9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11.00-11.30 </w:t>
            </w:r>
          </w:p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74165" w:rsidRDefault="00F013A9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11.30-12.00               </w:t>
            </w:r>
          </w:p>
        </w:tc>
        <w:tc>
          <w:tcPr>
            <w:tcW w:w="7686" w:type="dxa"/>
            <w:tcBorders>
              <w:top w:val="nil"/>
              <w:left w:val="nil"/>
              <w:bottom w:val="nil"/>
              <w:right w:val="nil"/>
            </w:tcBorders>
          </w:tcPr>
          <w:p w:rsidR="00C74165" w:rsidRDefault="00F013A9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Welcome and Introduction to the workshop</w:t>
            </w:r>
          </w:p>
          <w:p w:rsidR="00C74165" w:rsidRDefault="00F013A9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Giovanni De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Siervo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, Head of the International Relations and Activities Unit, DPC</w:t>
            </w:r>
          </w:p>
          <w:p w:rsidR="00C74165" w:rsidRDefault="00F013A9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Carlo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Cacciamani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, Head of the “Centro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Funzionale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Centrale”, DPC</w:t>
            </w:r>
          </w:p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74165" w:rsidRDefault="00F013A9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Round table presentation of the participants</w:t>
            </w:r>
          </w:p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74165" w:rsidRDefault="00F013A9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Session 1: Setting the scene</w:t>
            </w:r>
          </w:p>
          <w:p w:rsidR="00C74165" w:rsidRDefault="00F013A9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The Italian Civil Protection Department</w:t>
            </w:r>
          </w:p>
          <w:p w:rsidR="00C74165" w:rsidRDefault="00F013A9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Giovanni De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Siervo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, Head of the International Relations and Activities Unit, DPC</w:t>
            </w:r>
          </w:p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74165" w:rsidRDefault="00F013A9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Introduction to the hydrogeological and hydraulic risk: structural and non-structural prevention measures</w:t>
            </w:r>
          </w:p>
          <w:p w:rsidR="00C74165" w:rsidRDefault="00F013A9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Duro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e Fabio Santamaria,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Ufficio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PRE, DPC</w:t>
            </w:r>
          </w:p>
          <w:p w:rsidR="00C74165" w:rsidRDefault="00F013A9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The EU Floods Directive: the European regulatory framework for hydrogeological and hydraulic risk management</w:t>
            </w:r>
          </w:p>
          <w:p w:rsidR="00C74165" w:rsidRDefault="00F013A9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Paola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Bertuccioli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e Flavia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Massimi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Ufficio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PRE, DPC</w:t>
            </w:r>
          </w:p>
          <w:p w:rsidR="00C74165" w:rsidRDefault="00F013A9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Coffee Break</w:t>
            </w:r>
          </w:p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74165" w:rsidRDefault="00F013A9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The National Early Warning Sys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tem in the framework of the Italian Civil Protection Service</w:t>
            </w:r>
          </w:p>
          <w:p w:rsidR="00C74165" w:rsidRDefault="00F013A9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Gianfranco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Vulpiani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Ufficio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PRE, DPC</w:t>
            </w:r>
          </w:p>
        </w:tc>
      </w:tr>
      <w:tr w:rsidR="00C74165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C74165" w:rsidRDefault="00F013A9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12.00-12.30</w:t>
            </w:r>
          </w:p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6" w:type="dxa"/>
            <w:tcBorders>
              <w:top w:val="nil"/>
              <w:left w:val="nil"/>
              <w:bottom w:val="nil"/>
              <w:right w:val="nil"/>
            </w:tcBorders>
          </w:tcPr>
          <w:p w:rsidR="00C74165" w:rsidRDefault="00F013A9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Utilisation of satellite data for flood risk management</w:t>
            </w:r>
          </w:p>
          <w:p w:rsidR="00C74165" w:rsidRDefault="00F013A9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Silvia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Puca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Ufficio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PRE, DPC</w:t>
            </w:r>
          </w:p>
        </w:tc>
      </w:tr>
      <w:tr w:rsidR="00C74165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C74165" w:rsidRDefault="00F013A9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13.00-14.00</w:t>
            </w:r>
          </w:p>
        </w:tc>
        <w:tc>
          <w:tcPr>
            <w:tcW w:w="7686" w:type="dxa"/>
            <w:tcBorders>
              <w:top w:val="nil"/>
              <w:left w:val="nil"/>
              <w:bottom w:val="nil"/>
              <w:right w:val="nil"/>
            </w:tcBorders>
          </w:tcPr>
          <w:p w:rsidR="00C74165" w:rsidRDefault="00F013A9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Lunch</w:t>
            </w:r>
          </w:p>
        </w:tc>
      </w:tr>
      <w:tr w:rsidR="00C74165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74165" w:rsidRDefault="00F013A9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14.00-14.30</w:t>
            </w:r>
          </w:p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74165" w:rsidRDefault="00F013A9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14.30-15.00</w:t>
            </w:r>
          </w:p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74165" w:rsidRDefault="00F013A9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15.00-15.45</w:t>
            </w:r>
          </w:p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74165" w:rsidRDefault="00F013A9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15.45-16.15</w:t>
            </w:r>
          </w:p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74165" w:rsidRDefault="00F013A9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16:15- 17.30</w:t>
            </w:r>
          </w:p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74165" w:rsidRDefault="00F013A9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17.30</w:t>
            </w:r>
          </w:p>
        </w:tc>
        <w:tc>
          <w:tcPr>
            <w:tcW w:w="7686" w:type="dxa"/>
            <w:tcBorders>
              <w:top w:val="nil"/>
              <w:left w:val="nil"/>
              <w:bottom w:val="nil"/>
              <w:right w:val="nil"/>
            </w:tcBorders>
          </w:tcPr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74165" w:rsidRDefault="00F013A9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Session 2.1: Flood risk management tools</w:t>
            </w:r>
          </w:p>
          <w:p w:rsidR="00C74165" w:rsidRDefault="00F013A9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Key elements of an early warning system for the hydrogeological and hydraulic risk: from early detection to early alert</w:t>
            </w:r>
          </w:p>
          <w:p w:rsidR="00C74165" w:rsidRDefault="00F013A9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Carlo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Cacciamani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DPC</w:t>
            </w:r>
          </w:p>
          <w:p w:rsidR="00C74165" w:rsidRDefault="00F013A9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Weather forecasts for civil protection purposes, from the meteorological phenomenon to the impact on the territory. The approach and tools of the Italian Civil Protection</w:t>
            </w:r>
          </w:p>
          <w:p w:rsidR="00C74165" w:rsidRDefault="00F013A9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Gabriele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Sediari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e Andrea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Araneo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Ufficio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PRE, DPC</w:t>
            </w:r>
          </w:p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74165" w:rsidRDefault="00F013A9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Flash flood monitoring and foreca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sting systems in the Liguria region</w:t>
            </w:r>
          </w:p>
          <w:p w:rsidR="00C74165" w:rsidRDefault="00F013A9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Barbara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Turato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, Civil Protection Liguria Region</w:t>
            </w:r>
          </w:p>
          <w:p w:rsidR="00C74165" w:rsidRDefault="00F013A9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Coffee Break</w:t>
            </w:r>
          </w:p>
          <w:p w:rsidR="00C74165" w:rsidRDefault="00F013A9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Opearating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flood forecasting systems in real emergencies from the Italian regions</w:t>
            </w:r>
          </w:p>
          <w:p w:rsidR="00C74165" w:rsidRDefault="00F013A9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Tevere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river: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Nicola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Berni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Umbria Region</w:t>
            </w:r>
          </w:p>
          <w:p w:rsidR="00C74165" w:rsidRDefault="00F013A9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Po river: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Sara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Pavan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AIPO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Agenzia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Interregionale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Po)</w:t>
            </w:r>
          </w:p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74165" w:rsidRDefault="00F013A9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End of day 1</w:t>
            </w:r>
          </w:p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74165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165" w:rsidRDefault="00F013A9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</w:rPr>
              <w:lastRenderedPageBreak/>
              <w:t>23 October 2019</w:t>
            </w:r>
          </w:p>
          <w:p w:rsidR="00C74165" w:rsidRDefault="00F013A9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</w:rPr>
              <w:t xml:space="preserve">Italian Civil protection Department, </w:t>
            </w:r>
            <w:proofErr w:type="spellStart"/>
            <w:r>
              <w:rPr>
                <w:rFonts w:ascii="Arial" w:eastAsia="Arial" w:hAnsi="Arial" w:cs="Arial"/>
                <w:b/>
                <w:smallCaps/>
                <w:color w:val="000000"/>
              </w:rPr>
              <w:t>Opearational</w:t>
            </w:r>
            <w:proofErr w:type="spellEnd"/>
            <w:r>
              <w:rPr>
                <w:rFonts w:ascii="Arial" w:eastAsia="Arial" w:hAnsi="Arial" w:cs="Arial"/>
                <w:b/>
                <w:smallCaps/>
                <w:color w:val="000000"/>
              </w:rPr>
              <w:t xml:space="preserve"> Headquarters, Via </w:t>
            </w:r>
            <w:proofErr w:type="spellStart"/>
            <w:r>
              <w:rPr>
                <w:rFonts w:ascii="Arial" w:eastAsia="Arial" w:hAnsi="Arial" w:cs="Arial"/>
                <w:b/>
                <w:smallCaps/>
                <w:color w:val="000000"/>
              </w:rPr>
              <w:t>Vitorchiano</w:t>
            </w:r>
            <w:proofErr w:type="spellEnd"/>
            <w:r>
              <w:rPr>
                <w:rFonts w:ascii="Arial" w:eastAsia="Arial" w:hAnsi="Arial" w:cs="Arial"/>
                <w:b/>
                <w:smallCaps/>
                <w:color w:val="000000"/>
              </w:rPr>
              <w:t xml:space="preserve"> 4, Rome</w:t>
            </w:r>
          </w:p>
          <w:tbl>
            <w:tblPr>
              <w:tblStyle w:val="a0"/>
              <w:tblW w:w="899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3"/>
              <w:gridCol w:w="7493"/>
            </w:tblGrid>
            <w:tr w:rsidR="00C74165">
              <w:tc>
                <w:tcPr>
                  <w:tcW w:w="1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9.00-9.30</w:t>
                  </w: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   </w:t>
                  </w: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9.30-10.10</w:t>
                  </w: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10.10-10.40</w:t>
                  </w: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10.40-11.00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   </w:t>
                  </w: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11.00-11.30</w:t>
                  </w: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11.30-12.30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12.30-13.00</w:t>
                  </w: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13.00-14.00</w:t>
                  </w: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6"/>
                      <w:szCs w:val="6"/>
                    </w:rPr>
                  </w:pP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14.00-14.50</w:t>
                  </w: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14.50-15.40</w:t>
                  </w: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15.40-16.00</w:t>
                  </w: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16.00-16.30</w:t>
                  </w: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>Session 2.2: Flood risk management tools</w:t>
                  </w: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Using high-resolution precipitation data from cellular networks for operational flood forecasting</w:t>
                  </w: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20"/>
                      <w:szCs w:val="20"/>
                    </w:rPr>
                    <w:t xml:space="preserve">Amir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color w:val="000000"/>
                      <w:sz w:val="20"/>
                      <w:szCs w:val="20"/>
                    </w:rPr>
                    <w:t>Givati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color w:val="000000"/>
                      <w:sz w:val="20"/>
                      <w:szCs w:val="20"/>
                    </w:rPr>
                    <w:t xml:space="preserve">, Director of flood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color w:val="000000"/>
                      <w:sz w:val="20"/>
                      <w:szCs w:val="20"/>
                    </w:rPr>
                    <w:t>modeling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color w:val="000000"/>
                      <w:sz w:val="20"/>
                      <w:szCs w:val="20"/>
                    </w:rPr>
                    <w:t>ClimaCell</w:t>
                  </w:r>
                  <w:proofErr w:type="spellEnd"/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Elaboration of flood emergency response plans linked with early warning systems</w:t>
                  </w: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20"/>
                      <w:szCs w:val="20"/>
                    </w:rPr>
                    <w:t xml:space="preserve">David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color w:val="000000"/>
                      <w:sz w:val="20"/>
                      <w:szCs w:val="20"/>
                    </w:rPr>
                    <w:t>Fabi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color w:val="000000"/>
                      <w:sz w:val="20"/>
                      <w:szCs w:val="20"/>
                    </w:rPr>
                    <w:t>, Head of the Operational Emergency Support Service, DPC</w:t>
                  </w: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Tools for forecasting urban flooding in a changing land use and climate</w:t>
                  </w: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20"/>
                      <w:szCs w:val="20"/>
                    </w:rPr>
                    <w:t xml:space="preserve">Amir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color w:val="000000"/>
                      <w:sz w:val="20"/>
                      <w:szCs w:val="20"/>
                    </w:rPr>
                    <w:t>Givati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color w:val="000000"/>
                      <w:sz w:val="20"/>
                      <w:szCs w:val="20"/>
                    </w:rPr>
                    <w:t xml:space="preserve">, Director of flood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color w:val="000000"/>
                      <w:sz w:val="20"/>
                      <w:szCs w:val="20"/>
                    </w:rPr>
                    <w:t>modeling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color w:val="000000"/>
                      <w:sz w:val="20"/>
                      <w:szCs w:val="20"/>
                    </w:rPr>
                    <w:t>ClimaCell</w:t>
                  </w:r>
                  <w:proofErr w:type="spellEnd"/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 xml:space="preserve">Session 3: Case studies of flood emergencies </w:t>
                  </w: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Flood Emergency Management: Experiences from the Mediterranean countries</w:t>
                  </w: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20"/>
                      <w:szCs w:val="20"/>
                    </w:rPr>
                    <w:t>Morocco, Algeria (10 minutes each)</w:t>
                  </w: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-2" w:firstLine="0"/>
                    <w:jc w:val="both"/>
                    <w:rPr>
                      <w:rFonts w:ascii="Arial" w:eastAsia="Arial" w:hAnsi="Arial" w:cs="Arial"/>
                      <w:color w:val="000000"/>
                      <w:sz w:val="2"/>
                      <w:szCs w:val="2"/>
                    </w:rPr>
                  </w:pP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Coffee Break</w:t>
                  </w: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Flood Emergency Management: Experiences from the Mediterranean countries</w:t>
                  </w: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20"/>
                      <w:szCs w:val="20"/>
                    </w:rPr>
                    <w:t>Tunisia, Egypt, Israel, Palestine, Lebanon, Jordan, Lebanon, Jordan (10 minutes each)</w:t>
                  </w: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The role of Mayors in preparing the population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to cope with flood alerts: case study from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Bastiglia</w:t>
                  </w:r>
                  <w:proofErr w:type="spellEnd"/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20"/>
                      <w:szCs w:val="20"/>
                    </w:rPr>
                    <w:t xml:space="preserve">Francesca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color w:val="000000"/>
                      <w:sz w:val="20"/>
                      <w:szCs w:val="20"/>
                    </w:rPr>
                    <w:t>Silvestri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color w:val="000000"/>
                      <w:sz w:val="20"/>
                      <w:szCs w:val="20"/>
                    </w:rPr>
                    <w:t xml:space="preserve">, Mayor of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color w:val="000000"/>
                      <w:sz w:val="20"/>
                      <w:szCs w:val="20"/>
                    </w:rPr>
                    <w:t>Bastiglia</w:t>
                  </w:r>
                  <w:proofErr w:type="spellEnd"/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Lunch</w:t>
                  </w: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Flood experiences from European Countries</w:t>
                  </w: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20"/>
                      <w:szCs w:val="20"/>
                    </w:rPr>
                    <w:t>Commandant Franck FIORELLI, Departmental Fire and Rescue Service, Maritimes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color w:val="000000"/>
                      <w:sz w:val="20"/>
                      <w:szCs w:val="20"/>
                    </w:rPr>
                    <w:t>Alpes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color w:val="000000"/>
                      <w:sz w:val="20"/>
                      <w:szCs w:val="20"/>
                    </w:rPr>
                    <w:t xml:space="preserve"> Department, France</w:t>
                  </w: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Population awareness and the transmission of the alert to the population: techniques and tools</w:t>
                  </w: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20"/>
                      <w:szCs w:val="20"/>
                    </w:rPr>
                    <w:t xml:space="preserve">Maria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color w:val="000000"/>
                      <w:sz w:val="20"/>
                      <w:szCs w:val="20"/>
                    </w:rPr>
                    <w:t>Ángeles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color w:val="000000"/>
                      <w:sz w:val="20"/>
                      <w:szCs w:val="20"/>
                    </w:rPr>
                    <w:t>Herradon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color w:val="000000"/>
                      <w:sz w:val="20"/>
                      <w:szCs w:val="20"/>
                    </w:rPr>
                    <w:t xml:space="preserve"> Garcia, Head of the Communication Sector, General Directorate of Civil Protection and Emergencies, Spain</w:t>
                  </w: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Coffee Break </w:t>
                  </w: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The “Io non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risch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io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” Awareness Campaign</w:t>
                  </w: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20"/>
                      <w:szCs w:val="20"/>
                    </w:rPr>
                    <w:t xml:space="preserve">Stefano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color w:val="000000"/>
                      <w:sz w:val="20"/>
                      <w:szCs w:val="20"/>
                    </w:rPr>
                    <w:t>Vallari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color w:val="000000"/>
                      <w:sz w:val="20"/>
                      <w:szCs w:val="20"/>
                    </w:rPr>
                    <w:t>, Civil Protection Volunteers Service, DPC</w:t>
                  </w:r>
                </w:p>
              </w:tc>
            </w:tr>
            <w:tr w:rsidR="00C74165">
              <w:tc>
                <w:tcPr>
                  <w:tcW w:w="1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16.30-18.00 </w:t>
                  </w: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Practical session: flood forecasting models and information for risk assessment and risk monitoring -  Visit to the Centro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Funzionale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 Centrale, DPC</w:t>
                  </w:r>
                </w:p>
              </w:tc>
            </w:tr>
            <w:tr w:rsidR="00C74165">
              <w:tc>
                <w:tcPr>
                  <w:tcW w:w="1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20.30</w:t>
                  </w: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Social dinner</w:t>
                  </w: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74165">
              <w:tc>
                <w:tcPr>
                  <w:tcW w:w="89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smallCaps/>
                      <w:color w:val="000000"/>
                    </w:rPr>
                    <w:t>24 October 2019</w:t>
                  </w: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eastAsia="Arial" w:hAnsi="Arial" w:cs="Arial"/>
                      <w:b/>
                      <w:smallCaps/>
                      <w:color w:val="000000"/>
                    </w:rPr>
                    <w:t xml:space="preserve">Italian Civil protection Department,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mallCaps/>
                      <w:color w:val="000000"/>
                    </w:rPr>
                    <w:t>Opearational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mallCaps/>
                      <w:color w:val="000000"/>
                    </w:rPr>
                    <w:t xml:space="preserve"> Headquarters, Via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mallCaps/>
                      <w:color w:val="000000"/>
                    </w:rPr>
                    <w:t>Vitorchiano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mallCaps/>
                      <w:color w:val="000000"/>
                    </w:rPr>
                    <w:t xml:space="preserve"> 4, Rome</w:t>
                  </w: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74165">
              <w:tc>
                <w:tcPr>
                  <w:tcW w:w="1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9.00-11.30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   </w:t>
                  </w: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11.30-12.30</w:t>
                  </w: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12.30-13.00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13.00-14.00</w:t>
                  </w: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14.00</w:t>
                  </w: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45"/>
                    </w:tabs>
                    <w:spacing w:after="0" w:line="240" w:lineRule="auto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>Practical session: DEWETRA World</w:t>
                  </w: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Introduction to DEWETRA World -  Practical exercise on the utilisation of DEWETRA World -  Proposal of utilization of DEWETRA World in the national/regional contexts</w:t>
                  </w: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20"/>
                      <w:szCs w:val="20"/>
                    </w:rPr>
                    <w:t>Angela Corina, DPC</w:t>
                  </w: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Coffee Break</w:t>
                  </w: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>Round table discussion: what can we do together under PPRD South on flood risk management?</w:t>
                  </w: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Discussion and definition of possible actions for developing national capacities for using the tools and models illustrated during the workshop with the support by P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PRD South.</w:t>
                  </w: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20"/>
                      <w:szCs w:val="20"/>
                    </w:rPr>
                    <w:t xml:space="preserve">Moderator: Carlo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color w:val="000000"/>
                      <w:sz w:val="20"/>
                      <w:szCs w:val="20"/>
                    </w:rPr>
                    <w:t>Cacciamani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color w:val="000000"/>
                      <w:sz w:val="20"/>
                      <w:szCs w:val="20"/>
                    </w:rPr>
                    <w:t>, DPC</w:t>
                  </w: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Arial" w:eastAsia="Arial" w:hAnsi="Arial" w:cs="Arial"/>
                      <w:color w:val="000000"/>
                      <w:sz w:val="8"/>
                      <w:szCs w:val="8"/>
                    </w:rPr>
                  </w:pP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Wrap-up and conclusions</w:t>
                  </w:r>
                </w:p>
                <w:p w:rsidR="00C74165" w:rsidRDefault="00C74165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Arial" w:eastAsia="Arial" w:hAnsi="Arial" w:cs="Arial"/>
                      <w:color w:val="000000"/>
                      <w:sz w:val="8"/>
                      <w:szCs w:val="8"/>
                    </w:rPr>
                  </w:pP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Lunch</w:t>
                  </w:r>
                </w:p>
                <w:p w:rsidR="00C74165" w:rsidRDefault="00F013A9" w:rsidP="00F01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Departure to airport or to hotel</w:t>
                  </w:r>
                </w:p>
              </w:tc>
            </w:tr>
          </w:tbl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C74165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74165">
        <w:trPr>
          <w:trHeight w:val="8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6" w:type="dxa"/>
            <w:tcBorders>
              <w:top w:val="nil"/>
              <w:left w:val="nil"/>
              <w:bottom w:val="nil"/>
              <w:right w:val="nil"/>
            </w:tcBorders>
          </w:tcPr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74165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6" w:type="dxa"/>
            <w:tcBorders>
              <w:top w:val="nil"/>
              <w:left w:val="nil"/>
              <w:bottom w:val="nil"/>
              <w:right w:val="nil"/>
            </w:tcBorders>
          </w:tcPr>
          <w:p w:rsidR="00C74165" w:rsidRDefault="00C74165" w:rsidP="00F01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5"/>
              </w:tabs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C74165" w:rsidRDefault="00C74165" w:rsidP="00C7416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C74165">
      <w:headerReference w:type="default" r:id="rId8"/>
      <w:footerReference w:type="default" r:id="rId9"/>
      <w:pgSz w:w="11906" w:h="16838"/>
      <w:pgMar w:top="720" w:right="720" w:bottom="720" w:left="720" w:header="426" w:footer="5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013A9" w:rsidP="00F013A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00000" w:rsidRDefault="00F013A9" w:rsidP="00F013A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165" w:rsidRDefault="00F013A9" w:rsidP="00F013A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Gill Sans" w:eastAsia="Gill Sans" w:hAnsi="Gill Sans" w:cs="Gill Sans"/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noProof/>
        <w:lang w:val="it-IT" w:eastAsia="it-IT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-479424</wp:posOffset>
          </wp:positionH>
          <wp:positionV relativeFrom="paragraph">
            <wp:posOffset>257175</wp:posOffset>
          </wp:positionV>
          <wp:extent cx="762000" cy="762000"/>
          <wp:effectExtent l="0" t="0" r="0" b="0"/>
          <wp:wrapNone/>
          <wp:docPr id="10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4443730</wp:posOffset>
          </wp:positionH>
          <wp:positionV relativeFrom="paragraph">
            <wp:posOffset>3113405</wp:posOffset>
          </wp:positionV>
          <wp:extent cx="1638300" cy="307340"/>
          <wp:effectExtent l="0" t="0" r="0" b="0"/>
          <wp:wrapNone/>
          <wp:docPr id="10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8300" cy="307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74165" w:rsidRDefault="00F013A9" w:rsidP="00F013A9">
    <w:pPr>
      <w:pBdr>
        <w:top w:val="nil"/>
        <w:left w:val="nil"/>
        <w:bottom w:val="nil"/>
        <w:right w:val="nil"/>
        <w:between w:val="nil"/>
      </w:pBdr>
      <w:tabs>
        <w:tab w:val="left" w:pos="2528"/>
      </w:tabs>
      <w:spacing w:after="0"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                        </w:t>
    </w:r>
    <w:r>
      <w:rPr>
        <w:b/>
        <w:noProof/>
        <w:color w:val="000000"/>
        <w:sz w:val="21"/>
        <w:szCs w:val="21"/>
        <w:lang w:val="it-IT" w:eastAsia="it-IT"/>
      </w:rPr>
      <w:drawing>
        <wp:inline distT="0" distB="0" distL="114300" distR="114300">
          <wp:extent cx="772795" cy="618490"/>
          <wp:effectExtent l="0" t="0" r="0" b="0"/>
          <wp:docPr id="10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795" cy="618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0"/>
        <w:szCs w:val="20"/>
      </w:rPr>
      <w:t xml:space="preserve">   </w:t>
    </w:r>
    <w:r>
      <w:rPr>
        <w:noProof/>
        <w:color w:val="000000"/>
        <w:sz w:val="20"/>
        <w:szCs w:val="20"/>
        <w:lang w:val="it-IT" w:eastAsia="it-IT"/>
      </w:rPr>
      <w:drawing>
        <wp:inline distT="0" distB="0" distL="114300" distR="114300">
          <wp:extent cx="1137920" cy="652145"/>
          <wp:effectExtent l="0" t="0" r="0" b="0"/>
          <wp:docPr id="103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920" cy="652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0"/>
        <w:szCs w:val="20"/>
      </w:rPr>
      <w:t xml:space="preserve"> </w:t>
    </w:r>
    <w:r>
      <w:rPr>
        <w:noProof/>
        <w:color w:val="000000"/>
        <w:sz w:val="20"/>
        <w:szCs w:val="20"/>
        <w:lang w:val="it-IT" w:eastAsia="it-IT"/>
      </w:rPr>
      <w:drawing>
        <wp:inline distT="0" distB="0" distL="114300" distR="114300">
          <wp:extent cx="704215" cy="760730"/>
          <wp:effectExtent l="0" t="0" r="0" b="0"/>
          <wp:docPr id="103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215" cy="760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0"/>
        <w:szCs w:val="20"/>
      </w:rPr>
      <w:t xml:space="preserve">   </w:t>
    </w:r>
    <w:r>
      <w:rPr>
        <w:b/>
        <w:noProof/>
        <w:color w:val="000000"/>
        <w:sz w:val="20"/>
        <w:szCs w:val="20"/>
        <w:lang w:val="it-IT" w:eastAsia="it-IT"/>
      </w:rPr>
      <w:drawing>
        <wp:inline distT="0" distB="0" distL="114300" distR="114300">
          <wp:extent cx="1001395" cy="566420"/>
          <wp:effectExtent l="0" t="0" r="0" b="0"/>
          <wp:docPr id="1036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1395" cy="566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0"/>
        <w:szCs w:val="20"/>
      </w:rPr>
      <w:t xml:space="preserve"> </w:t>
    </w:r>
    <w:r>
      <w:rPr>
        <w:b/>
        <w:color w:val="000000"/>
        <w:sz w:val="20"/>
        <w:szCs w:val="20"/>
      </w:rPr>
      <w:t xml:space="preserve">  </w:t>
    </w:r>
    <w:r>
      <w:rPr>
        <w:color w:val="000000"/>
        <w:sz w:val="20"/>
        <w:szCs w:val="20"/>
      </w:rPr>
      <w:t xml:space="preserve">   </w:t>
    </w:r>
    <w:r>
      <w:rPr>
        <w:noProof/>
        <w:color w:val="000000"/>
        <w:sz w:val="20"/>
        <w:szCs w:val="20"/>
        <w:lang w:val="it-IT" w:eastAsia="it-IT"/>
      </w:rPr>
      <w:drawing>
        <wp:inline distT="0" distB="0" distL="114300" distR="114300">
          <wp:extent cx="1000125" cy="631190"/>
          <wp:effectExtent l="0" t="0" r="0" b="0"/>
          <wp:docPr id="1035" name="image6.png" descr="Vignette_logo_3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Vignette_logo_3l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631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0"/>
        <w:szCs w:val="20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013A9" w:rsidP="00F013A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00000" w:rsidRDefault="00F013A9" w:rsidP="00F013A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165" w:rsidRDefault="00F013A9" w:rsidP="00F013A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Arial" w:eastAsia="Arial" w:hAnsi="Arial" w:cs="Arial"/>
        <w:color w:val="034EA2"/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4538345</wp:posOffset>
          </wp:positionH>
          <wp:positionV relativeFrom="paragraph">
            <wp:posOffset>-160654</wp:posOffset>
          </wp:positionV>
          <wp:extent cx="1487805" cy="591185"/>
          <wp:effectExtent l="0" t="0" r="0" b="0"/>
          <wp:wrapSquare wrapText="bothSides" distT="0" distB="0" distL="114300" distR="114300"/>
          <wp:docPr id="1037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7805" cy="591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-32384</wp:posOffset>
          </wp:positionH>
          <wp:positionV relativeFrom="paragraph">
            <wp:posOffset>-38734</wp:posOffset>
          </wp:positionV>
          <wp:extent cx="737870" cy="495300"/>
          <wp:effectExtent l="0" t="0" r="0" b="0"/>
          <wp:wrapSquare wrapText="bothSides" distT="0" distB="0" distL="114300" distR="114300"/>
          <wp:docPr id="1038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787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74165" w:rsidRDefault="00C74165" w:rsidP="00F013A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Garamond" w:eastAsia="Garamond" w:hAnsi="Garamond" w:cs="Garamond"/>
        <w:color w:val="000000"/>
        <w:sz w:val="18"/>
        <w:szCs w:val="18"/>
      </w:rPr>
    </w:pPr>
  </w:p>
  <w:p w:rsidR="00C74165" w:rsidRDefault="00C74165" w:rsidP="00F013A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Garamond" w:eastAsia="Garamond" w:hAnsi="Garamond" w:cs="Garamond"/>
        <w:color w:val="000000"/>
        <w:sz w:val="18"/>
        <w:szCs w:val="18"/>
      </w:rPr>
    </w:pPr>
  </w:p>
  <w:p w:rsidR="00C74165" w:rsidRDefault="00C74165" w:rsidP="00F013A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Verdana" w:eastAsia="Verdana" w:hAnsi="Verdana" w:cs="Verdana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0593D"/>
    <w:multiLevelType w:val="multilevel"/>
    <w:tmpl w:val="8C5061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4165"/>
    <w:rsid w:val="00C74165"/>
    <w:rsid w:val="00F0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GB" w:eastAsia="en-US"/>
    </w:rPr>
  </w:style>
  <w:style w:type="paragraph" w:styleId="Titolo1">
    <w:name w:val="heading 1"/>
    <w:basedOn w:val="Normal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36"/>
      <w:sz w:val="48"/>
      <w:szCs w:val="48"/>
      <w:lang w:val="fr-FR" w:eastAsia="fr-FR"/>
    </w:rPr>
  </w:style>
  <w:style w:type="paragraph" w:styleId="Titolo2">
    <w:name w:val="heading 2"/>
    <w:basedOn w:val="Normale"/>
    <w:next w:val="Normale"/>
    <w:pPr>
      <w:keepNext/>
      <w:keepLines/>
      <w:spacing w:before="40" w:after="0"/>
      <w:outlineLvl w:val="1"/>
    </w:pPr>
    <w:rPr>
      <w:rFonts w:ascii="Calibri Light" w:eastAsia="MS Gothic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qFormat/>
    <w:pPr>
      <w:spacing w:after="0" w:line="240" w:lineRule="auto"/>
    </w:pPr>
    <w:rPr>
      <w:sz w:val="20"/>
      <w:szCs w:val="20"/>
      <w:lang w:val="fr-FR"/>
    </w:rPr>
  </w:style>
  <w:style w:type="character" w:customStyle="1" w:styleId="IntestazioneCarattere">
    <w:name w:val="Intestazione Carattere"/>
    <w:rPr>
      <w:w w:val="100"/>
      <w:position w:val="-1"/>
      <w:effect w:val="none"/>
      <w:vertAlign w:val="baseline"/>
      <w:cs w:val="0"/>
      <w:em w:val="none"/>
      <w:lang w:val="fr-FR"/>
    </w:rPr>
  </w:style>
  <w:style w:type="paragraph" w:styleId="Pidipagina">
    <w:name w:val="footer"/>
    <w:basedOn w:val="Normale"/>
    <w:qFormat/>
    <w:pPr>
      <w:spacing w:after="0" w:line="240" w:lineRule="auto"/>
    </w:pPr>
    <w:rPr>
      <w:sz w:val="20"/>
      <w:szCs w:val="20"/>
      <w:lang w:val="fr-FR"/>
    </w:r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  <w:lang w:val="fr-FR"/>
    </w:r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fondomedio1-Colore11">
    <w:name w:val="Sfondo medio 1 - Colore 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fr-FR" w:eastAsia="en-US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/>
      <w:sz w:val="16"/>
      <w:szCs w:val="16"/>
      <w:lang w:val="fr-FR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fr-FR"/>
    </w:rPr>
  </w:style>
  <w:style w:type="paragraph" w:customStyle="1" w:styleId="Grigliamedia1-Colore21">
    <w:name w:val="Griglia media 1 - Colore 21"/>
    <w:basedOn w:val="Normal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Testocommento">
    <w:name w:val="annotation text"/>
    <w:basedOn w:val="Normale"/>
    <w:qFormat/>
    <w:pPr>
      <w:spacing w:line="240" w:lineRule="auto"/>
    </w:pPr>
    <w:rPr>
      <w:sz w:val="20"/>
      <w:szCs w:val="20"/>
      <w:lang w:val="fr-FR"/>
    </w:rPr>
  </w:style>
  <w:style w:type="character" w:customStyle="1" w:styleId="TestocommentoCarattere">
    <w:name w:val="Testo commento Carattere"/>
    <w:rPr>
      <w:w w:val="100"/>
      <w:position w:val="-1"/>
      <w:sz w:val="20"/>
      <w:szCs w:val="20"/>
      <w:effect w:val="none"/>
      <w:vertAlign w:val="baseline"/>
      <w:cs w:val="0"/>
      <w:em w:val="none"/>
      <w:lang w:val="fr-FR"/>
    </w:rPr>
  </w:style>
  <w:style w:type="character" w:customStyle="1" w:styleId="Titolo1Carattere">
    <w:name w:val="Titolo 1 Carattere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val="fr-FR" w:eastAsia="fr-FR"/>
    </w:rPr>
  </w:style>
  <w:style w:type="character" w:customStyle="1" w:styleId="st">
    <w:name w:val="st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rFonts w:ascii="Calibri" w:eastAsia="Times New Roman" w:hAnsi="Calibri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fr-FR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fr-FR" w:eastAsia="en-US"/>
    </w:rPr>
  </w:style>
  <w:style w:type="paragraph" w:styleId="Testonotaapidipagina">
    <w:name w:val="footnote text"/>
    <w:basedOn w:val="Normale"/>
    <w:qFormat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rPr>
      <w:rFonts w:ascii="Calibri" w:eastAsia="Times New Roman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reformattatoHTML">
    <w:name w:val="HTML Preformatted"/>
    <w:basedOn w:val="Normale"/>
    <w:qFormat/>
    <w:pPr>
      <w:spacing w:after="0" w:line="240" w:lineRule="auto"/>
    </w:pPr>
    <w:rPr>
      <w:rFonts w:ascii="Courier New" w:eastAsia="Times New Roman" w:hAnsi="Courier New"/>
      <w:sz w:val="20"/>
      <w:szCs w:val="20"/>
      <w:lang w:val="fr-FR" w:eastAsia="fr-FR"/>
    </w:rPr>
  </w:style>
  <w:style w:type="character" w:customStyle="1" w:styleId="PreformattatoHTMLCarattere">
    <w:name w:val="Preformattato HTML Carattere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  <w:lang w:val="fr-FR" w:eastAsia="fr-FR"/>
    </w:rPr>
  </w:style>
  <w:style w:type="character" w:customStyle="1" w:styleId="Listecouleur-Accent1CarBulletPointsCarListeParagrafCarCitationListCar">
    <w:name w:val="Liste couleur - Accent 1 Car;Bullet Points Car;Liste Paragraf Car;Citation List Car"/>
    <w:rPr>
      <w:rFonts w:ascii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table" w:styleId="Grigliachiara-Colore3">
    <w:name w:val="Light Grid Accent 3"/>
    <w:basedOn w:val="Tabellanormale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  <w:tblPr>
      <w:tblStyleRowBandSize w:val="1"/>
      <w:tblStyleColBandSize w:val="1"/>
    </w:tblPr>
  </w:style>
  <w:style w:type="character" w:customStyle="1" w:styleId="tlid-translation">
    <w:name w:val="tlid-translation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libri Light" w:eastAsia="MS Gothic" w:hAnsi="Calibri Light" w:cs="Times New Roman"/>
      <w:color w:val="2E74B5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Formal1">
    <w:name w:val="Formal1"/>
    <w:pPr>
      <w:spacing w:before="60" w:after="6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lang w:eastAsia="fr-FR"/>
    </w:rPr>
  </w:style>
  <w:style w:type="paragraph" w:customStyle="1" w:styleId="Formal2">
    <w:name w:val="Formal2"/>
    <w:basedOn w:val="Formal1"/>
    <w:rPr>
      <w:rFonts w:ascii="Arial" w:hAnsi="Arial" w:cs="Arial"/>
      <w:b/>
    </w:r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/>
    </w:rPr>
  </w:style>
  <w:style w:type="character" w:customStyle="1" w:styleId="bpktextbpk-text2nhso">
    <w:name w:val="bpktext_bpk-text__2nhs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GB" w:eastAsia="en-US"/>
    </w:rPr>
  </w:style>
  <w:style w:type="paragraph" w:styleId="Titolo1">
    <w:name w:val="heading 1"/>
    <w:basedOn w:val="Normal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36"/>
      <w:sz w:val="48"/>
      <w:szCs w:val="48"/>
      <w:lang w:val="fr-FR" w:eastAsia="fr-FR"/>
    </w:rPr>
  </w:style>
  <w:style w:type="paragraph" w:styleId="Titolo2">
    <w:name w:val="heading 2"/>
    <w:basedOn w:val="Normale"/>
    <w:next w:val="Normale"/>
    <w:pPr>
      <w:keepNext/>
      <w:keepLines/>
      <w:spacing w:before="40" w:after="0"/>
      <w:outlineLvl w:val="1"/>
    </w:pPr>
    <w:rPr>
      <w:rFonts w:ascii="Calibri Light" w:eastAsia="MS Gothic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qFormat/>
    <w:pPr>
      <w:spacing w:after="0" w:line="240" w:lineRule="auto"/>
    </w:pPr>
    <w:rPr>
      <w:sz w:val="20"/>
      <w:szCs w:val="20"/>
      <w:lang w:val="fr-FR"/>
    </w:rPr>
  </w:style>
  <w:style w:type="character" w:customStyle="1" w:styleId="IntestazioneCarattere">
    <w:name w:val="Intestazione Carattere"/>
    <w:rPr>
      <w:w w:val="100"/>
      <w:position w:val="-1"/>
      <w:effect w:val="none"/>
      <w:vertAlign w:val="baseline"/>
      <w:cs w:val="0"/>
      <w:em w:val="none"/>
      <w:lang w:val="fr-FR"/>
    </w:rPr>
  </w:style>
  <w:style w:type="paragraph" w:styleId="Pidipagina">
    <w:name w:val="footer"/>
    <w:basedOn w:val="Normale"/>
    <w:qFormat/>
    <w:pPr>
      <w:spacing w:after="0" w:line="240" w:lineRule="auto"/>
    </w:pPr>
    <w:rPr>
      <w:sz w:val="20"/>
      <w:szCs w:val="20"/>
      <w:lang w:val="fr-FR"/>
    </w:r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  <w:lang w:val="fr-FR"/>
    </w:r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fondomedio1-Colore11">
    <w:name w:val="Sfondo medio 1 - Colore 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fr-FR" w:eastAsia="en-US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/>
      <w:sz w:val="16"/>
      <w:szCs w:val="16"/>
      <w:lang w:val="fr-FR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fr-FR"/>
    </w:rPr>
  </w:style>
  <w:style w:type="paragraph" w:customStyle="1" w:styleId="Grigliamedia1-Colore21">
    <w:name w:val="Griglia media 1 - Colore 21"/>
    <w:basedOn w:val="Normal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Testocommento">
    <w:name w:val="annotation text"/>
    <w:basedOn w:val="Normale"/>
    <w:qFormat/>
    <w:pPr>
      <w:spacing w:line="240" w:lineRule="auto"/>
    </w:pPr>
    <w:rPr>
      <w:sz w:val="20"/>
      <w:szCs w:val="20"/>
      <w:lang w:val="fr-FR"/>
    </w:rPr>
  </w:style>
  <w:style w:type="character" w:customStyle="1" w:styleId="TestocommentoCarattere">
    <w:name w:val="Testo commento Carattere"/>
    <w:rPr>
      <w:w w:val="100"/>
      <w:position w:val="-1"/>
      <w:sz w:val="20"/>
      <w:szCs w:val="20"/>
      <w:effect w:val="none"/>
      <w:vertAlign w:val="baseline"/>
      <w:cs w:val="0"/>
      <w:em w:val="none"/>
      <w:lang w:val="fr-FR"/>
    </w:rPr>
  </w:style>
  <w:style w:type="character" w:customStyle="1" w:styleId="Titolo1Carattere">
    <w:name w:val="Titolo 1 Carattere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val="fr-FR" w:eastAsia="fr-FR"/>
    </w:rPr>
  </w:style>
  <w:style w:type="character" w:customStyle="1" w:styleId="st">
    <w:name w:val="st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rFonts w:ascii="Calibri" w:eastAsia="Times New Roman" w:hAnsi="Calibri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fr-FR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fr-FR" w:eastAsia="en-US"/>
    </w:rPr>
  </w:style>
  <w:style w:type="paragraph" w:styleId="Testonotaapidipagina">
    <w:name w:val="footnote text"/>
    <w:basedOn w:val="Normale"/>
    <w:qFormat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rPr>
      <w:rFonts w:ascii="Calibri" w:eastAsia="Times New Roman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reformattatoHTML">
    <w:name w:val="HTML Preformatted"/>
    <w:basedOn w:val="Normale"/>
    <w:qFormat/>
    <w:pPr>
      <w:spacing w:after="0" w:line="240" w:lineRule="auto"/>
    </w:pPr>
    <w:rPr>
      <w:rFonts w:ascii="Courier New" w:eastAsia="Times New Roman" w:hAnsi="Courier New"/>
      <w:sz w:val="20"/>
      <w:szCs w:val="20"/>
      <w:lang w:val="fr-FR" w:eastAsia="fr-FR"/>
    </w:rPr>
  </w:style>
  <w:style w:type="character" w:customStyle="1" w:styleId="PreformattatoHTMLCarattere">
    <w:name w:val="Preformattato HTML Carattere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  <w:lang w:val="fr-FR" w:eastAsia="fr-FR"/>
    </w:rPr>
  </w:style>
  <w:style w:type="character" w:customStyle="1" w:styleId="Listecouleur-Accent1CarBulletPointsCarListeParagrafCarCitationListCar">
    <w:name w:val="Liste couleur - Accent 1 Car;Bullet Points Car;Liste Paragraf Car;Citation List Car"/>
    <w:rPr>
      <w:rFonts w:ascii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table" w:styleId="Grigliachiara-Colore3">
    <w:name w:val="Light Grid Accent 3"/>
    <w:basedOn w:val="Tabellanormale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  <w:tblPr>
      <w:tblStyleRowBandSize w:val="1"/>
      <w:tblStyleColBandSize w:val="1"/>
    </w:tblPr>
  </w:style>
  <w:style w:type="character" w:customStyle="1" w:styleId="tlid-translation">
    <w:name w:val="tlid-translation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libri Light" w:eastAsia="MS Gothic" w:hAnsi="Calibri Light" w:cs="Times New Roman"/>
      <w:color w:val="2E74B5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Formal1">
    <w:name w:val="Formal1"/>
    <w:pPr>
      <w:spacing w:before="60" w:after="6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lang w:eastAsia="fr-FR"/>
    </w:rPr>
  </w:style>
  <w:style w:type="paragraph" w:customStyle="1" w:styleId="Formal2">
    <w:name w:val="Formal2"/>
    <w:basedOn w:val="Formal1"/>
    <w:rPr>
      <w:rFonts w:ascii="Arial" w:hAnsi="Arial" w:cs="Arial"/>
      <w:b/>
    </w:r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/>
    </w:rPr>
  </w:style>
  <w:style w:type="character" w:customStyle="1" w:styleId="bpktextbpk-text2nhso">
    <w:name w:val="bpktext_bpk-text__2nhs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Glotin</dc:creator>
  <cp:lastModifiedBy>campaninisandro</cp:lastModifiedBy>
  <cp:revision>2</cp:revision>
  <dcterms:created xsi:type="dcterms:W3CDTF">2019-10-21T07:13:00Z</dcterms:created>
  <dcterms:modified xsi:type="dcterms:W3CDTF">2019-10-21T07:13:00Z</dcterms:modified>
</cp:coreProperties>
</file>