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C20362" w14:textId="40857096" w:rsidR="007F36E2" w:rsidRDefault="007350CC">
      <w:pPr>
        <w:widowControl/>
        <w:suppressAutoHyphens w:val="0"/>
        <w:spacing w:after="200" w:line="276" w:lineRule="auto"/>
        <w:ind w:left="284" w:right="-1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Parma, </w:t>
      </w:r>
      <w:r w:rsidR="005D7399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1</w:t>
      </w:r>
      <w:r w:rsidR="00173B0F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4</w:t>
      </w:r>
      <w:r w:rsidR="005D14DA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="005D7399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ottobre</w:t>
      </w:r>
      <w:r w:rsidR="005D14DA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2021</w:t>
      </w:r>
    </w:p>
    <w:p w14:paraId="2208713D" w14:textId="243AFAC2" w:rsidR="007F36E2" w:rsidRDefault="00ED1DBB">
      <w:pPr>
        <w:widowControl/>
        <w:suppressAutoHyphens w:val="0"/>
        <w:spacing w:after="57" w:line="276" w:lineRule="auto"/>
        <w:ind w:left="1417" w:hanging="1134"/>
        <w:jc w:val="both"/>
      </w:pPr>
      <w:r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OGGETTO: Disposizioni organizzative a seguito dell’emanazione del</w:t>
      </w:r>
      <w:r w:rsidR="005D7399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D.P.C.M. 2</w:t>
      </w:r>
      <w:r w:rsidR="00D91F09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3</w:t>
      </w:r>
      <w:r w:rsidR="005D7399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settembre 2021</w:t>
      </w:r>
      <w:r w:rsidR="00005AC4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;</w:t>
      </w:r>
    </w:p>
    <w:p w14:paraId="38ECF233" w14:textId="77777777" w:rsidR="007F36E2" w:rsidRDefault="00ED1DBB">
      <w:pPr>
        <w:widowControl/>
        <w:suppressAutoHyphens w:val="0"/>
        <w:spacing w:after="113" w:line="276" w:lineRule="auto"/>
        <w:ind w:left="1020" w:right="142" w:hanging="737"/>
        <w:jc w:val="center"/>
      </w:pPr>
      <w:r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Il Direttore</w:t>
      </w:r>
    </w:p>
    <w:p w14:paraId="27AEC4FB" w14:textId="60D75CBC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VISTA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la legge 22 maggio 2017, n. 81, recante “Misure per la tutela del lavoro autonomo non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imprenditoriale e misure volte a favorire l'articolazione flessibile nei tempi e nei luoghi del lavoro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subordinato”;</w:t>
      </w:r>
    </w:p>
    <w:p w14:paraId="39355464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14:paraId="63919E05" w14:textId="0735E240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VISTA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la legge 7 agosto 2015, n. 124, recante “Deleghe al Governo in materia di riorganizzazione delle amministrazioni pubbliche”;</w:t>
      </w:r>
    </w:p>
    <w:p w14:paraId="64DC5DC9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67708DDC" w14:textId="242C1B43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VISTO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il decreto-legge 17 marzo 2020, n. 18, convertito, con modificazioni, dalla legge 24 aprile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2020, n. 27, e, in particolare, l’articolo 87, comma 1, secondo periodo, che prevede che fino alla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cessazione dello stato di emergenza epidemiologica da COVID-2019, ovvero fino ad una data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antecedente stabilita con decreto del Presidente del Consiglio dei ministri su proposta del Ministro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per la pubblica amministrazione, il lavoro agile è una delle modalità ordinarie di svolgimento della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prestazione lavorativa nelle pubbliche amministrazioni di cui all'articolo 1, comma 2, del decreto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legislativo 30 marzo 2001, n. 165;</w:t>
      </w:r>
    </w:p>
    <w:p w14:paraId="218F6C58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50F8844C" w14:textId="6CF3ABB1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VISTO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l’articolo 263, del decreto-legge 19 maggio 2020, n. 34, convertito, con modificazioni,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dalla legge di conversione 17 luglio 2020, n. 77 e successive modificazioni e, in particolare, il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comma 1, il quale prevede che “Al fine di assicurare la continuità dell'azione amministrativa e la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celere conclusione dei procedimenti, le amministrazioni di cui all'articolo 1, comma 2, del decreto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legislativo 30 marzo 2001, n. 165, adeguano l'operatività di tutti gli uffici pubblici alle esigenze dei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cittadini e delle imprese connesse al graduale riavvio delle attività produttive e commerciali. A tal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fine, le amministrazioni di cui al primo periodo del presente comma, fino alla definizione della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disciplina del lavoro agile da parte dei contratti collettivi, ove previsti, e, comunque, non oltre il 31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dicembre 2021, in deroga alle misure di cui all'articolo 87, comma 3, del decreto-legge 17 marzo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2020, n. 18, convertito, con modificazioni, dalla legge 24 aprile 2020, n. 27, organizzano il lavoro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dei propri dipendenti e l'erogazione dei servizi attraverso la flessibilità dell'orario di lavoro,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rivedendone l'articolazione giornaliera e settimanale, introducendo modalità di interlocuzione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programmata con l'utenza, anche attraverso soluzioni digitali e non in presenza, applicando il lavoro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agile, con le misure semplificate di cui alla lettera b) del comma 1 del medesimo articolo 87, 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comunque a condizione che l'erogazione dei servizi rivolti ai cittadini e alle imprese avvenga con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regolarità, continuità ed efficienza nonché nel rigoroso rispetto dei tempi previsti dalla normativa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vigente.”;</w:t>
      </w:r>
    </w:p>
    <w:p w14:paraId="5A7D485E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1EA581E8" w14:textId="50FBBA3B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VISTO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il citato articolo 263 e, in particolare, il terzo periodo del comma 1 il quale prevede che, in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considerazione dell'evolversi della situazione epidemiologica, con uno o più decreti del Ministro per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la pubblica amministrazione, possono essere stabilite modalità organizzative e fissati criteri 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princìpi in materia di flessibilità del lavoro pubblico e di lavoro agile, anche prevedendo il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conseguimento di precisi obiettivi quantitativi e qualitativi;</w:t>
      </w:r>
    </w:p>
    <w:p w14:paraId="5D1ED2A5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72D115B9" w14:textId="78116F22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VISTA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la dichiarazione di emergenza di sanità pubblica internazionale dell'Organizzazione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mondiale della sanità del 30 gennaio 2020, con la quale venivano attivate le previsioni dei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regolamenti </w:t>
      </w:r>
      <w:proofErr w:type="gramStart"/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sanitari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internazionali</w:t>
      </w:r>
      <w:proofErr w:type="gramEnd"/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e la successiva dichiarazione della stessa Organizzazione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mondiale della sanità dell'11 marzo 2020, con la quale l'epidemia da COVID-19 è stata valutata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come «pandemia» in considerazione dei livelli di diffusività e gravità raggiunti a livello globale;</w:t>
      </w:r>
    </w:p>
    <w:p w14:paraId="1A38D84D" w14:textId="77777777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2E7EC88E" w14:textId="23234678" w:rsidR="007D795E" w:rsidRPr="007D795E" w:rsidRDefault="007D795E" w:rsidP="002644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VISTO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il decreto-legge 23 luglio 2021, n. 105, e, in particolare, l’articolo 1, che ha prorogato lo</w:t>
      </w:r>
      <w:r w:rsidR="00264410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stato di emergenza fino al 31 dicembre 2021;</w:t>
      </w:r>
    </w:p>
    <w:p w14:paraId="65E2065A" w14:textId="77777777" w:rsidR="007D795E" w:rsidRDefault="007D795E" w:rsidP="002644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7567828D" w14:textId="09D98E24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lastRenderedPageBreak/>
        <w:t>VISTA,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la legge 7 agosto 2015, n. 124, in particolare il comma 3, dell’articolo 14, che prevede che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 decreto del Ministro per la pubblica amministrazione, sentita la Conferenza unificata di cui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all'articolo 8 del decreto legislativo 28 agosto 1997, n. 281, possono essere definiti, anche tenendo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conto degli esiti del monitoraggio del Dipartimento della funzione pubblica della Presidenza del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Consiglio dei ministri nei confronti delle pubbliche amministrazioni; ulteriori e specifici indirizzi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per l'attuazione dei commi 1 e 2 del medesimo articolo 14 e della legge 22 maggio 2017, n. 81, per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quanto applicabile alle pubbliche amministrazioni, nonché regole inerenti all'organizzazione del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lavoro finalizzate a promuovere il lavoro agile e la conciliazione dei tempi di vita e di lavoro dei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dipendenti;</w:t>
      </w:r>
    </w:p>
    <w:p w14:paraId="3CD20D64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41191032" w14:textId="30C9AE50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VISTO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il decreto</w:t>
      </w:r>
      <w:r w:rsidR="00D91F0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-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legge 21 settembre 2021, n. 127, recante “Misure urgenti per assicurare lo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svolgimento in sicurezza del lavoro pubblico e privato mediante l’estensione dell’ambito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applicativo della certificazione verde Covid-19 e il rafforzamento del sistema di screening” e, in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particolare, l’articolo 1, che estende l’obbligo del possesso della certificazione verde Covid-19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anche ai lavoratori del settore pubblico;</w:t>
      </w:r>
    </w:p>
    <w:p w14:paraId="368AF861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08E7AE2F" w14:textId="6AEC8645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CONSIDERATO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che tale estensione della certificazione verde Covid-19 anche ai lavoratori del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settore pubblico incrementa l’efficacia delle misure di contrasto al fenomeno epidemiologico già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adottate dalle amministrazioni pubbliche;</w:t>
      </w:r>
    </w:p>
    <w:p w14:paraId="1029DEAC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2D4E7A44" w14:textId="734F32BD" w:rsidR="007D795E" w:rsidRPr="007D795E" w:rsidRDefault="007D795E" w:rsidP="007D795E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7D795E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CONSIDERATO,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altresì, che occorre sostenere cittadini ed imprese nelle attività connesse allo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sviluppo delle attività produttive e all’attuazione del Piano nazionale di ripresa e resilienza (PNRR)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e che a tale scopo occorre consentire alle amministrazioni pubbliche di operare al massimo delle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D795E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proprie capacità;</w:t>
      </w:r>
    </w:p>
    <w:p w14:paraId="11B106E1" w14:textId="77777777" w:rsidR="007D795E" w:rsidRDefault="007D795E" w:rsidP="007D795E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636A77AC" w14:textId="6BBD2873" w:rsidR="007D795E" w:rsidRPr="00DA2335" w:rsidRDefault="007D795E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DA2335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CONSIDERATA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dunque, la necessità di superare l’utilizzo del lavoro agile quale strumento di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contrasto al fenomeno epidemiologico;</w:t>
      </w:r>
    </w:p>
    <w:p w14:paraId="0838A325" w14:textId="77777777" w:rsidR="00DA2335" w:rsidRDefault="00DA2335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it-IT" w:bidi="ar-SA"/>
        </w:rPr>
      </w:pPr>
    </w:p>
    <w:p w14:paraId="1F4CD02C" w14:textId="5D244218" w:rsidR="007D795E" w:rsidRPr="00DA2335" w:rsidRDefault="007D795E" w:rsidP="00DA2335">
      <w:pPr>
        <w:widowControl/>
        <w:suppressAutoHyphens w:val="0"/>
        <w:autoSpaceDE w:val="0"/>
        <w:autoSpaceDN w:val="0"/>
        <w:adjustRightInd w:val="0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DA2335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VISTO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il 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ecreto del Presidente del </w:t>
      </w:r>
      <w:proofErr w:type="gramStart"/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Consiglio dei 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inistri</w:t>
      </w:r>
      <w:proofErr w:type="gramEnd"/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2</w:t>
      </w:r>
      <w:r w:rsidR="0069118F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3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settembre 2021, adottato ai sensi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dell’articolo 87, comma 1, del decreto-legge 17 marzo 2020, n. 18, convertito, con modificazioni,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dalla legge 24 aprile 2020, n. 27;</w:t>
      </w:r>
    </w:p>
    <w:p w14:paraId="4E26880B" w14:textId="77777777" w:rsidR="00DA2335" w:rsidRDefault="00DA2335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19445E31" w14:textId="424EE6A7" w:rsidR="007D795E" w:rsidRDefault="007D795E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DA2335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VISTO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l’articolo 6, comma 2, lettera b), del decreto-legge 9 giugno 2021 n. 80, convertito, con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m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odificazioni dalla legge 6 agosto 2021, 113, che stabilisce che il Piano integrato di attività e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organizzazione delle amministrazioni pubbliche deve prevedere, tra l’altro, anche la strategia di</w:t>
      </w:r>
      <w:r w:rsid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DA233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gestione del capitale umano e di sviluppo organizzativo, anche mediante il lavoro agile;</w:t>
      </w:r>
    </w:p>
    <w:p w14:paraId="67F35A80" w14:textId="7DE3C56D" w:rsidR="00DA2335" w:rsidRDefault="00DA2335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4D0D8F48" w14:textId="791814B6" w:rsidR="00DA2335" w:rsidRDefault="00DA2335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DA2335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RITENUTO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pertanto aggiornare le misure di organizzazione dell’Agenzia a seguito delle nuove modalità organizzative per il rientro in presenza dei lavoratori delle pubbliche amministrazioni;</w:t>
      </w:r>
    </w:p>
    <w:p w14:paraId="2BDF95A3" w14:textId="3B7C4A15" w:rsidR="00DA2335" w:rsidRDefault="00DA2335" w:rsidP="00DA2335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0579D468" w14:textId="010A1FA5" w:rsidR="00DA2335" w:rsidRPr="00264410" w:rsidRDefault="00DA2335" w:rsidP="003A49F4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kern w:val="0"/>
          <w:lang w:eastAsia="it-IT" w:bidi="ar-SA"/>
        </w:rPr>
      </w:pPr>
      <w:r w:rsidRPr="00264410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Dispone</w:t>
      </w:r>
    </w:p>
    <w:p w14:paraId="480B6B16" w14:textId="77777777" w:rsidR="00DA2335" w:rsidRDefault="00DA2335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5E7C4D9E" w14:textId="7BA71FB3" w:rsidR="004406EC" w:rsidRPr="003A49F4" w:rsidRDefault="003A49F4" w:rsidP="003A49F4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1. i</w:t>
      </w:r>
      <w:r w:rsidR="00DA2335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n attuazione dell’articolo 1 comma 1 del decreto del Presidente </w:t>
      </w:r>
      <w:r w:rsidR="00576508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del </w:t>
      </w:r>
      <w:proofErr w:type="gramStart"/>
      <w:r w:rsidR="00576508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Consiglio dei Ministri</w:t>
      </w:r>
      <w:proofErr w:type="gramEnd"/>
      <w:r w:rsidR="00576508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del 2</w:t>
      </w:r>
      <w:r w:rsidR="00D91F0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3</w:t>
      </w:r>
      <w:r w:rsidR="00576508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settembre 2021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, al fine di realizzare il superamento dell’utilizzo del lavoro agile emergenziale, </w:t>
      </w:r>
      <w:r w:rsidR="00576508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a decorrere dal 15 ottobre 2021 nel rispetto delle vigenti misure di contrasto al fenomeno epidemiologico adottate dalle autorità competenti, 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il rientro in servizio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in presenza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del personale dipendente dell’Agenzia e quindi lo svolgimento della prestazione lavorativa nella sede di servizio;</w:t>
      </w:r>
    </w:p>
    <w:p w14:paraId="173E04E6" w14:textId="77777777" w:rsidR="00DA2335" w:rsidRDefault="00DA2335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044B38A3" w14:textId="77777777" w:rsidR="00DA2335" w:rsidRDefault="00DA2335" w:rsidP="007D795E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kern w:val="0"/>
          <w:lang w:eastAsia="it-IT" w:bidi="ar-SA"/>
        </w:rPr>
      </w:pPr>
    </w:p>
    <w:p w14:paraId="7CD53CBB" w14:textId="54A8BA2B" w:rsidR="004406EC" w:rsidRPr="003A49F4" w:rsidRDefault="003A49F4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 w:rsidRPr="00DD204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2. </w:t>
      </w:r>
      <w:r w:rsidR="004406EC" w:rsidRPr="00DD204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che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i dirigenti organizz</w:t>
      </w:r>
      <w:r w:rsidR="00DD2045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no i propri uffici prevedendo il rientro in presenza di tutto il personale entro i successivi 15 giorni alla data di cui al punto 1, assicurando, comunque la presenza in servizio del personale preposto alle attività di ricevimento degli utenti;</w:t>
      </w:r>
    </w:p>
    <w:p w14:paraId="08B010D6" w14:textId="77777777" w:rsidR="004406EC" w:rsidRPr="003A49F4" w:rsidRDefault="004406EC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179CCF98" w14:textId="02E82949" w:rsidR="004406EC" w:rsidRPr="003A49F4" w:rsidRDefault="003A49F4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lastRenderedPageBreak/>
        <w:t xml:space="preserve">3. </w:t>
      </w:r>
      <w:r w:rsidR="001157D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al fine di 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evitare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che l’accesso nei locali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dell’Agenzia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,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da par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te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del person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ale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,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4406EC"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si concentri nella stessa fascia oraria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, consentire la flessibilità oraria in entrata (07.30 – 10.00);</w:t>
      </w:r>
    </w:p>
    <w:p w14:paraId="2639BEBD" w14:textId="10570FA9" w:rsidR="003A49F4" w:rsidRPr="003A49F4" w:rsidRDefault="003A49F4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7E90F77C" w14:textId="6106A3C0" w:rsidR="00101193" w:rsidRDefault="003A49F4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4. n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elle more della definizione 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del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lavoro agile 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in sede di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contrattazione collettiva e della definizione delle modalità e degli obiettivi del lavoro agile da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definirsi ai sensi dell’articolo 6, comma 2, lettera c), del decreto-legge 9 giugno 2021 n. 80,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convertito, con modificazioni dalla legge 6 agosto 2021, 113, nell’ambito del Piano integrato di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attività e organizzazione (PIAO)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,  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l’accesso a tale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modalità di svolgimento della prestazione lavorativa, potrà essere autorizzato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da parte di ciascun Dirigente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nel rispetto delle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3A49F4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condizionalità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previste dall’art. 1 comma 3 lett.</w:t>
      </w:r>
      <w:r w:rsid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101193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a), b), c), d), e) f).1.2.3., g), h)</w:t>
      </w:r>
      <w:r w:rsidR="007C05C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del D.</w:t>
      </w:r>
      <w:r w:rsid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P.C.M.</w:t>
      </w:r>
      <w:r w:rsidR="00D91F0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0</w:t>
      </w:r>
      <w:r w:rsidR="00D91F0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8 ottobre 2021</w:t>
      </w:r>
      <w:r w:rsid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;</w:t>
      </w:r>
    </w:p>
    <w:p w14:paraId="0B554361" w14:textId="77777777" w:rsidR="00356507" w:rsidRDefault="00356507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49E6FFBE" w14:textId="579D2EC2" w:rsidR="007C05CD" w:rsidRPr="00715638" w:rsidRDefault="00101193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5. </w:t>
      </w:r>
      <w:r w:rsidR="00715638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a partire dal giorno 15 ottobre 2021, 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il </w:t>
      </w:r>
      <w:r w:rsidR="005D7399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d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irigente può, nel rispetto delle condizioni su indicate, concedere al proprio personale n. 1 giornata a settimana di lavoro</w:t>
      </w: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agile</w:t>
      </w:r>
      <w:r w:rsidR="007C05CD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;</w:t>
      </w:r>
    </w:p>
    <w:p w14:paraId="64C7065F" w14:textId="77777777" w:rsidR="007C05CD" w:rsidRPr="00715638" w:rsidRDefault="007C05C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14:paraId="290CD234" w14:textId="53629661" w:rsidR="00101193" w:rsidRPr="00715638" w:rsidRDefault="007C05C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6. il dirigente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,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="00101193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previa motivazione </w:t>
      </w:r>
      <w:r w:rsidR="0035650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(ad. es cura minori, disabili, distanza chilometrica, età), </w:t>
      </w:r>
      <w:r w:rsidR="00101193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per casi particolari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e tenuto conto delle condizioni di cui 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al punto </w:t>
      </w:r>
      <w:r w:rsidR="008D0182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4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,</w:t>
      </w:r>
      <w:r w:rsidR="00101193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valuta se concedere 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n. </w:t>
      </w:r>
      <w:r w:rsidR="00101193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2 giornate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di lavoro agile al proprio personale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, </w:t>
      </w:r>
      <w:r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se richiesto e comunque in percentuale non superiore 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al </w:t>
      </w:r>
      <w:r w:rsidR="0035650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30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% complessivo </w:t>
      </w:r>
      <w:r w:rsidR="0004344B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del personale assegnato 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(dirigent</w:t>
      </w:r>
      <w:r w:rsidR="00237640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e</w:t>
      </w:r>
      <w:r w:rsidR="001157D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</w:t>
      </w:r>
      <w:r w:rsidR="0004344B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compreso</w:t>
      </w:r>
      <w:r w:rsidR="00237640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ed esclusi i lavoratori fragili</w:t>
      </w:r>
      <w:r w:rsidR="0004344B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), con arrotondamento all’unità superiore qualora il calcolo </w:t>
      </w:r>
      <w:r w:rsidR="002E202C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dia luogo ad un numero decimale con la prima cifra dopo la virgola pari </w:t>
      </w:r>
      <w:r w:rsidR="00356507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o </w:t>
      </w:r>
      <w:r w:rsidR="002E202C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superiore a 5;</w:t>
      </w:r>
    </w:p>
    <w:p w14:paraId="53E20AC3" w14:textId="21C3CDEF" w:rsidR="005D7399" w:rsidRPr="00715638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</w:pPr>
    </w:p>
    <w:p w14:paraId="6FBFFD4C" w14:textId="16CADBC6" w:rsidR="005D7399" w:rsidRDefault="007E7E2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7</w:t>
      </w:r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. </w:t>
      </w:r>
      <w:r w:rsidR="005D7399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che il dirigente tenga conto delle certificazioni del medico competente in merito alle fattispecie di lavoratori per i quali sussistono condizioni di fragilità</w:t>
      </w:r>
      <w:r w:rsidR="002E202C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normativamente previste</w:t>
      </w:r>
      <w:r w:rsidR="0045079E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, cui lo smart working </w:t>
      </w:r>
      <w:r w:rsidR="00E95EC4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può essere applicato anche oltre le limitazioni</w:t>
      </w:r>
      <w:r w:rsidR="0045079E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 xml:space="preserve"> cui ai precedenti punti 5 e 6</w:t>
      </w:r>
      <w:r w:rsidR="005D7399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;</w:t>
      </w:r>
    </w:p>
    <w:p w14:paraId="5FA3CBB1" w14:textId="29CA39D1" w:rsidR="005D7399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4E18CBB6" w14:textId="507BE9DE" w:rsidR="005D7399" w:rsidRDefault="007E7E2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8</w:t>
      </w:r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. </w:t>
      </w:r>
      <w:r w:rsidR="005D7399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che le suddette misure hanno efficacia fino alla data del 31.12.2021 e s’intendono superate tutte le precedenti</w:t>
      </w:r>
      <w:r w:rsidR="00BC22C2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356507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disposizioni </w:t>
      </w:r>
      <w:r w:rsidR="00BC22C2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emanate dall’Agenzia in materia di smart working. Restano </w:t>
      </w:r>
      <w:r w:rsidR="00BE3413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invece </w:t>
      </w:r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in vigore</w:t>
      </w:r>
      <w:r w:rsidR="00BC22C2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ed i lavoratori sono tenuti ad osservarl</w:t>
      </w:r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i</w:t>
      </w:r>
      <w:r w:rsidR="00BC22C2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</w:t>
      </w:r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scrupolosamente i protocolli e</w:t>
      </w:r>
      <w:r w:rsidR="00BC22C2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le misure </w:t>
      </w:r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di sicurezza per prevenire il contagio da Covid -19 sui luoghi di lavoro adottate da </w:t>
      </w:r>
      <w:proofErr w:type="spellStart"/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AIPo</w:t>
      </w:r>
      <w:proofErr w:type="spellEnd"/>
      <w:r w:rsidR="0087689B" w:rsidRPr="00356507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e pubblicate sul sito istituzionale.</w:t>
      </w:r>
    </w:p>
    <w:p w14:paraId="32BB9168" w14:textId="60C60444" w:rsidR="00070147" w:rsidRDefault="00070147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279E9B77" w14:textId="5863CFE8" w:rsidR="00070147" w:rsidRPr="00070147" w:rsidRDefault="007E7E2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hAnsiTheme="minorHAnsi" w:cstheme="minorHAnsi"/>
          <w:sz w:val="22"/>
          <w:szCs w:val="22"/>
        </w:rPr>
        <w:t>9</w:t>
      </w:r>
      <w:r w:rsidR="00070147" w:rsidRPr="00356507">
        <w:rPr>
          <w:rFonts w:asciiTheme="minorHAnsi" w:hAnsiTheme="minorHAnsi" w:cstheme="minorHAnsi"/>
          <w:sz w:val="22"/>
          <w:szCs w:val="22"/>
        </w:rPr>
        <w:t>. che non si</w:t>
      </w:r>
      <w:r w:rsidR="00F02BC4" w:rsidRPr="00356507">
        <w:rPr>
          <w:rFonts w:asciiTheme="minorHAnsi" w:hAnsiTheme="minorHAnsi" w:cstheme="minorHAnsi"/>
          <w:sz w:val="22"/>
          <w:szCs w:val="22"/>
        </w:rPr>
        <w:t>a</w:t>
      </w:r>
      <w:r w:rsidR="00070147" w:rsidRPr="00356507">
        <w:rPr>
          <w:rFonts w:asciiTheme="minorHAnsi" w:hAnsiTheme="minorHAnsi" w:cstheme="minorHAnsi"/>
          <w:sz w:val="22"/>
          <w:szCs w:val="22"/>
        </w:rPr>
        <w:t xml:space="preserve"> consentito in alcun modo, in quanto elusivo del</w:t>
      </w:r>
      <w:r w:rsidR="00352AD6" w:rsidRPr="00356507">
        <w:rPr>
          <w:rFonts w:asciiTheme="minorHAnsi" w:hAnsiTheme="minorHAnsi" w:cstheme="minorHAnsi"/>
          <w:sz w:val="22"/>
          <w:szCs w:val="22"/>
        </w:rPr>
        <w:t>l’</w:t>
      </w:r>
      <w:r w:rsidR="00070147" w:rsidRPr="00356507">
        <w:rPr>
          <w:rFonts w:asciiTheme="minorHAnsi" w:hAnsiTheme="minorHAnsi" w:cstheme="minorHAnsi"/>
          <w:sz w:val="22"/>
          <w:szCs w:val="22"/>
        </w:rPr>
        <w:t xml:space="preserve">obbligo del green pass, individuare i lavoratori da adibire al lavoro agile sulla base del mancato possesso di tale certificazione. Il lavoratore che dichiari il possesso della </w:t>
      </w:r>
      <w:proofErr w:type="gramStart"/>
      <w:r w:rsidR="00070147" w:rsidRPr="00356507">
        <w:rPr>
          <w:rFonts w:asciiTheme="minorHAnsi" w:hAnsiTheme="minorHAnsi" w:cstheme="minorHAnsi"/>
          <w:sz w:val="22"/>
          <w:szCs w:val="22"/>
        </w:rPr>
        <w:t>predetta</w:t>
      </w:r>
      <w:proofErr w:type="gramEnd"/>
      <w:r w:rsidR="00070147" w:rsidRPr="00356507">
        <w:rPr>
          <w:rFonts w:asciiTheme="minorHAnsi" w:hAnsiTheme="minorHAnsi" w:cstheme="minorHAnsi"/>
          <w:sz w:val="22"/>
          <w:szCs w:val="22"/>
        </w:rPr>
        <w:t xml:space="preserve"> certificazione, ma non sia in grado di esibirla, deve essere considerato assente ingiustificato e non può in alcun modo essere adibito a modalità di lavoro agile.</w:t>
      </w:r>
    </w:p>
    <w:p w14:paraId="0AEB4C11" w14:textId="77777777" w:rsidR="005D7399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423A337C" w14:textId="0F357051" w:rsidR="005D7399" w:rsidRDefault="007E7E2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10</w:t>
      </w:r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. che il </w:t>
      </w:r>
      <w:proofErr w:type="spellStart"/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mobility</w:t>
      </w:r>
      <w:proofErr w:type="spellEnd"/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manager si rapporti con gli Enti Locali per agevolare e coordinare l’implementazione del PSCL;</w:t>
      </w:r>
    </w:p>
    <w:p w14:paraId="414E1F16" w14:textId="6D0B55F2" w:rsidR="005D7399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66ED25A4" w14:textId="16C0C78D" w:rsidR="005D7399" w:rsidRDefault="00777C31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1</w:t>
      </w:r>
      <w:r w:rsidR="007E7E2D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1</w:t>
      </w:r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. </w:t>
      </w:r>
      <w:r w:rsidR="00715638" w:rsidRPr="00715638">
        <w:rPr>
          <w:rFonts w:asciiTheme="minorHAnsi" w:eastAsia="Calibri" w:hAnsiTheme="minorHAnsi" w:cstheme="minorHAnsi"/>
          <w:b/>
          <w:sz w:val="22"/>
          <w:szCs w:val="22"/>
          <w:lang w:eastAsia="ar-SA" w:bidi="ar-SA"/>
        </w:rPr>
        <w:t>a partire dal 2 novembre 2021</w:t>
      </w:r>
      <w:r w:rsidR="00715638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, per l’attivazione o la prosecuzione del lavoro agile sarà necessario stipulare con il dirigente di riferimento l’accordo individuale, in base allo schema </w:t>
      </w:r>
      <w:r w:rsidR="005D7399"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allegato quale parte integrante e sostanziale al presente provvedimento.</w:t>
      </w:r>
    </w:p>
    <w:p w14:paraId="677ED669" w14:textId="5B7A1BF1" w:rsidR="005D7399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768EE4E2" w14:textId="44487212" w:rsidR="007E7E2D" w:rsidRDefault="007E7E2D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12. Ferme restando le limitazioni di cui ai precedenti punti 5 e 6 della presente disposizione, per il periodo transitorio dal 15 </w:t>
      </w:r>
      <w:proofErr w:type="gramStart"/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>Ottobre</w:t>
      </w:r>
      <w:proofErr w:type="gramEnd"/>
      <w:r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  <w:t xml:space="preserve"> al 31 Ottobre 2021, restano validi i moduli di autorizzazione già sottoscritti secondo la precedente normativa.</w:t>
      </w:r>
    </w:p>
    <w:p w14:paraId="082F210B" w14:textId="77777777" w:rsidR="005D7399" w:rsidRDefault="005D7399" w:rsidP="00101193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eastAsia="ar-SA" w:bidi="ar-SA"/>
        </w:rPr>
      </w:pPr>
    </w:p>
    <w:p w14:paraId="3D0876E9" w14:textId="77777777" w:rsidR="007F36E2" w:rsidRDefault="00ED1DBB" w:rsidP="00264410">
      <w:pPr>
        <w:widowControl/>
        <w:suppressAutoHyphens w:val="0"/>
        <w:spacing w:after="113"/>
        <w:jc w:val="both"/>
      </w:pPr>
      <w:r w:rsidRPr="005D7399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La presente disposizione verrà inviata a </w:t>
      </w:r>
      <w:r w:rsidR="00982A7A" w:rsidRPr="005D7399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tutto il personale dell’Agenzia</w:t>
      </w:r>
      <w:r w:rsidRPr="005D7399">
        <w:rPr>
          <w:rFonts w:asciiTheme="minorHAnsi" w:eastAsia="Calibri" w:hAnsiTheme="minorHAnsi" w:cstheme="minorHAnsi"/>
          <w:sz w:val="22"/>
          <w:szCs w:val="22"/>
          <w:lang w:eastAsia="ar-SA" w:bidi="ar-SA"/>
        </w:rPr>
        <w:t xml:space="preserve"> ed ai soggetti competenti.</w:t>
      </w:r>
    </w:p>
    <w:p w14:paraId="08C6A99B" w14:textId="77777777" w:rsidR="007F36E2" w:rsidRDefault="00ED1DBB" w:rsidP="005D7399">
      <w:pPr>
        <w:widowControl/>
        <w:suppressAutoHyphens w:val="0"/>
        <w:spacing w:after="200"/>
        <w:ind w:right="-2"/>
        <w:jc w:val="both"/>
        <w:rPr>
          <w:rFonts w:asciiTheme="minorHAnsi" w:eastAsia="Calibri" w:hAnsiTheme="minorHAnsi" w:cstheme="minorHAnsi"/>
          <w:sz w:val="22"/>
          <w:szCs w:val="22"/>
          <w:lang w:eastAsia="ar-SA" w:bidi="ar-SA"/>
        </w:rPr>
      </w:pPr>
      <w:r>
        <w:rPr>
          <w:rFonts w:asciiTheme="minorHAnsi" w:eastAsia="Calibri" w:hAnsiTheme="minorHAnsi" w:cstheme="minorHAnsi"/>
          <w:sz w:val="22"/>
          <w:szCs w:val="22"/>
          <w:lang w:eastAsia="ar-SA" w:bidi="ar-SA"/>
        </w:rPr>
        <w:t>Si porgono cordiali saluti.</w:t>
      </w:r>
    </w:p>
    <w:p w14:paraId="4865546F" w14:textId="77777777" w:rsidR="007F36E2" w:rsidRDefault="00ED1DBB">
      <w:pPr>
        <w:widowControl/>
        <w:suppressAutoHyphens w:val="0"/>
        <w:ind w:left="4989"/>
        <w:jc w:val="center"/>
        <w:rPr>
          <w:sz w:val="22"/>
          <w:szCs w:val="22"/>
        </w:rPr>
      </w:pPr>
      <w:r>
        <w:rPr>
          <w:rFonts w:asciiTheme="minorHAnsi" w:eastAsia="Calibri" w:hAnsiTheme="minorHAnsi" w:cs="Calibri"/>
          <w:b/>
          <w:sz w:val="22"/>
          <w:szCs w:val="22"/>
          <w:lang w:eastAsia="ar-SA" w:bidi="ar-SA"/>
        </w:rPr>
        <w:t>IL DIRETTORE</w:t>
      </w:r>
    </w:p>
    <w:p w14:paraId="26850B49" w14:textId="126BBA94" w:rsidR="007F36E2" w:rsidRDefault="00ED1DBB">
      <w:pPr>
        <w:widowControl/>
        <w:suppressAutoHyphens w:val="0"/>
        <w:ind w:left="4989"/>
        <w:jc w:val="center"/>
      </w:pPr>
      <w:r>
        <w:rPr>
          <w:rFonts w:asciiTheme="minorHAnsi" w:eastAsia="Calibri" w:hAnsiTheme="minorHAnsi" w:cs="Calibri"/>
          <w:sz w:val="22"/>
          <w:szCs w:val="22"/>
          <w:lang w:eastAsia="ar-SA" w:bidi="ar-SA"/>
        </w:rPr>
        <w:lastRenderedPageBreak/>
        <w:t xml:space="preserve">Ing. Luigi Mille (documento sottoscritto digitalmente, ai sensi del </w:t>
      </w:r>
      <w:proofErr w:type="spellStart"/>
      <w:r>
        <w:rPr>
          <w:rFonts w:asciiTheme="minorHAnsi" w:eastAsia="Calibri" w:hAnsiTheme="minorHAnsi" w:cs="Calibri"/>
          <w:sz w:val="22"/>
          <w:szCs w:val="22"/>
          <w:lang w:eastAsia="ar-SA" w:bidi="ar-SA"/>
        </w:rPr>
        <w:t>D.Lgs.</w:t>
      </w:r>
      <w:proofErr w:type="spellEnd"/>
      <w:r>
        <w:rPr>
          <w:rFonts w:asciiTheme="minorHAnsi" w:eastAsia="Calibri" w:hAnsiTheme="minorHAnsi" w:cs="Calibri"/>
          <w:sz w:val="22"/>
          <w:szCs w:val="22"/>
          <w:lang w:eastAsia="ar-SA" w:bidi="ar-SA"/>
        </w:rPr>
        <w:t xml:space="preserve"> 82/2005 e </w:t>
      </w:r>
      <w:proofErr w:type="spellStart"/>
      <w:r>
        <w:rPr>
          <w:rFonts w:asciiTheme="minorHAnsi" w:eastAsia="Calibri" w:hAnsiTheme="minorHAnsi" w:cs="Calibri"/>
          <w:sz w:val="22"/>
          <w:szCs w:val="22"/>
          <w:lang w:eastAsia="ar-SA" w:bidi="ar-SA"/>
        </w:rPr>
        <w:t>s.m.i.</w:t>
      </w:r>
      <w:proofErr w:type="spellEnd"/>
      <w:r>
        <w:rPr>
          <w:rFonts w:asciiTheme="minorHAnsi" w:eastAsia="Calibri" w:hAnsiTheme="minorHAnsi" w:cs="Calibri"/>
          <w:sz w:val="22"/>
          <w:szCs w:val="22"/>
          <w:lang w:eastAsia="ar-SA" w:bidi="ar-SA"/>
        </w:rPr>
        <w:t>)</w:t>
      </w:r>
    </w:p>
    <w:sectPr w:rsidR="007F36E2" w:rsidSect="00DD1B01">
      <w:headerReference w:type="default" r:id="rId8"/>
      <w:pgSz w:w="11906" w:h="16838"/>
      <w:pgMar w:top="2155" w:right="1559" w:bottom="1077" w:left="851" w:header="567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4FD75" w14:textId="77777777" w:rsidR="0034771D" w:rsidRDefault="0034771D">
      <w:r>
        <w:separator/>
      </w:r>
    </w:p>
  </w:endnote>
  <w:endnote w:type="continuationSeparator" w:id="0">
    <w:p w14:paraId="75C46928" w14:textId="77777777" w:rsidR="0034771D" w:rsidRDefault="0034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DE90" w14:textId="77777777" w:rsidR="0034771D" w:rsidRDefault="0034771D">
      <w:r>
        <w:separator/>
      </w:r>
    </w:p>
  </w:footnote>
  <w:footnote w:type="continuationSeparator" w:id="0">
    <w:p w14:paraId="3C7B4827" w14:textId="77777777" w:rsidR="0034771D" w:rsidRDefault="0034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4680C" w14:textId="77777777" w:rsidR="00D27093" w:rsidRDefault="00D27093">
    <w:pPr>
      <w:pStyle w:val="Intestazione"/>
      <w:tabs>
        <w:tab w:val="left" w:pos="3085"/>
        <w:tab w:val="right" w:pos="9570"/>
      </w:tabs>
      <w:rPr>
        <w:rFonts w:asciiTheme="minorHAnsi" w:hAnsiTheme="minorHAnsi" w:cstheme="minorHAnsi"/>
      </w:rPr>
    </w:pPr>
  </w:p>
  <w:p w14:paraId="5E588B92" w14:textId="77777777" w:rsidR="00D27093" w:rsidRDefault="00D27093">
    <w:pPr>
      <w:pStyle w:val="Intestazione"/>
      <w:tabs>
        <w:tab w:val="left" w:pos="3085"/>
        <w:tab w:val="right" w:pos="9570"/>
      </w:tabs>
      <w:jc w:val="center"/>
      <w:rPr>
        <w:rFonts w:asciiTheme="minorHAnsi" w:hAnsiTheme="minorHAnsi" w:cstheme="minorHAnsi"/>
      </w:rPr>
    </w:pPr>
    <w:r>
      <w:rPr>
        <w:noProof/>
        <w:lang w:eastAsia="it-IT" w:bidi="ar-SA"/>
      </w:rPr>
      <w:drawing>
        <wp:inline distT="0" distB="0" distL="0" distR="0" wp14:anchorId="08E30A16" wp14:editId="090693FC">
          <wp:extent cx="2414270" cy="62484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4270" cy="624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71D9"/>
    <w:multiLevelType w:val="multilevel"/>
    <w:tmpl w:val="C7D60D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674CE0"/>
    <w:multiLevelType w:val="hybridMultilevel"/>
    <w:tmpl w:val="88B4D0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4717F"/>
    <w:multiLevelType w:val="multilevel"/>
    <w:tmpl w:val="B6D8EBB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8A783B"/>
    <w:multiLevelType w:val="multilevel"/>
    <w:tmpl w:val="9AAC59D8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AA85C82"/>
    <w:multiLevelType w:val="multilevel"/>
    <w:tmpl w:val="58B6C2B0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CC25ADB"/>
    <w:multiLevelType w:val="hybridMultilevel"/>
    <w:tmpl w:val="7DE65C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E134362"/>
    <w:multiLevelType w:val="multilevel"/>
    <w:tmpl w:val="9AE48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881CF7"/>
    <w:multiLevelType w:val="hybridMultilevel"/>
    <w:tmpl w:val="F1E22EC4"/>
    <w:lvl w:ilvl="0" w:tplc="8EAE0A7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6F03CF"/>
    <w:multiLevelType w:val="multilevel"/>
    <w:tmpl w:val="9F1EB9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834517"/>
    <w:multiLevelType w:val="multilevel"/>
    <w:tmpl w:val="A4B65554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52A30454"/>
    <w:multiLevelType w:val="hybridMultilevel"/>
    <w:tmpl w:val="BBF2B518"/>
    <w:lvl w:ilvl="0" w:tplc="A2168CBE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D5741"/>
    <w:multiLevelType w:val="hybridMultilevel"/>
    <w:tmpl w:val="B7D62662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090079F"/>
    <w:multiLevelType w:val="multilevel"/>
    <w:tmpl w:val="2884C49E"/>
    <w:lvl w:ilvl="0">
      <w:start w:val="1"/>
      <w:numFmt w:val="bullet"/>
      <w:lvlText w:val=""/>
      <w:lvlJc w:val="left"/>
      <w:pPr>
        <w:tabs>
          <w:tab w:val="num" w:pos="890"/>
        </w:tabs>
        <w:ind w:left="89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50"/>
        </w:tabs>
        <w:ind w:left="125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10"/>
        </w:tabs>
        <w:ind w:left="161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70"/>
        </w:tabs>
        <w:ind w:left="197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30"/>
        </w:tabs>
        <w:ind w:left="233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90"/>
        </w:tabs>
        <w:ind w:left="269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10"/>
        </w:tabs>
        <w:ind w:left="341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70"/>
        </w:tabs>
        <w:ind w:left="377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2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2"/>
    <w:rsid w:val="000016C4"/>
    <w:rsid w:val="00005AC4"/>
    <w:rsid w:val="00027FE5"/>
    <w:rsid w:val="0004344B"/>
    <w:rsid w:val="0005019B"/>
    <w:rsid w:val="00056648"/>
    <w:rsid w:val="00060AF1"/>
    <w:rsid w:val="00070147"/>
    <w:rsid w:val="00076980"/>
    <w:rsid w:val="00076998"/>
    <w:rsid w:val="0009508D"/>
    <w:rsid w:val="000977BC"/>
    <w:rsid w:val="000A5ECA"/>
    <w:rsid w:val="000E63F5"/>
    <w:rsid w:val="001001B2"/>
    <w:rsid w:val="00101193"/>
    <w:rsid w:val="001157D7"/>
    <w:rsid w:val="00124589"/>
    <w:rsid w:val="00137617"/>
    <w:rsid w:val="00157748"/>
    <w:rsid w:val="001641E5"/>
    <w:rsid w:val="00173B0F"/>
    <w:rsid w:val="00186409"/>
    <w:rsid w:val="001C71E9"/>
    <w:rsid w:val="001F2163"/>
    <w:rsid w:val="001F4FA3"/>
    <w:rsid w:val="00205734"/>
    <w:rsid w:val="00207EFC"/>
    <w:rsid w:val="00235250"/>
    <w:rsid w:val="00237640"/>
    <w:rsid w:val="00241A54"/>
    <w:rsid w:val="002470CF"/>
    <w:rsid w:val="002620A3"/>
    <w:rsid w:val="00264410"/>
    <w:rsid w:val="00271635"/>
    <w:rsid w:val="00280482"/>
    <w:rsid w:val="002E202C"/>
    <w:rsid w:val="002F649D"/>
    <w:rsid w:val="00304BCF"/>
    <w:rsid w:val="003146BE"/>
    <w:rsid w:val="00346D76"/>
    <w:rsid w:val="0034771D"/>
    <w:rsid w:val="00352AD6"/>
    <w:rsid w:val="00356507"/>
    <w:rsid w:val="003723B8"/>
    <w:rsid w:val="00382128"/>
    <w:rsid w:val="003916D6"/>
    <w:rsid w:val="00394CBA"/>
    <w:rsid w:val="003967E2"/>
    <w:rsid w:val="003A49F4"/>
    <w:rsid w:val="003B5112"/>
    <w:rsid w:val="003C151D"/>
    <w:rsid w:val="003F0526"/>
    <w:rsid w:val="003F1231"/>
    <w:rsid w:val="00416558"/>
    <w:rsid w:val="00424AE0"/>
    <w:rsid w:val="004303A7"/>
    <w:rsid w:val="004406EC"/>
    <w:rsid w:val="00443E01"/>
    <w:rsid w:val="0045079E"/>
    <w:rsid w:val="00463856"/>
    <w:rsid w:val="004A51EB"/>
    <w:rsid w:val="004D52F0"/>
    <w:rsid w:val="004E1C54"/>
    <w:rsid w:val="004E3F87"/>
    <w:rsid w:val="00500268"/>
    <w:rsid w:val="00513AC3"/>
    <w:rsid w:val="005206E1"/>
    <w:rsid w:val="005377EE"/>
    <w:rsid w:val="00553832"/>
    <w:rsid w:val="005754B1"/>
    <w:rsid w:val="00576508"/>
    <w:rsid w:val="005819F7"/>
    <w:rsid w:val="005A6E11"/>
    <w:rsid w:val="005B1E32"/>
    <w:rsid w:val="005C5623"/>
    <w:rsid w:val="005D14DA"/>
    <w:rsid w:val="005D7399"/>
    <w:rsid w:val="005F1E6A"/>
    <w:rsid w:val="005F4EFE"/>
    <w:rsid w:val="006018F4"/>
    <w:rsid w:val="0069118F"/>
    <w:rsid w:val="006C0BBF"/>
    <w:rsid w:val="006E1319"/>
    <w:rsid w:val="006F3A05"/>
    <w:rsid w:val="00703B81"/>
    <w:rsid w:val="00715638"/>
    <w:rsid w:val="00727A4D"/>
    <w:rsid w:val="007350CC"/>
    <w:rsid w:val="00753B8C"/>
    <w:rsid w:val="007768B1"/>
    <w:rsid w:val="00777C31"/>
    <w:rsid w:val="0079184F"/>
    <w:rsid w:val="007B6839"/>
    <w:rsid w:val="007C05CD"/>
    <w:rsid w:val="007D795E"/>
    <w:rsid w:val="007E7E2D"/>
    <w:rsid w:val="007F36E2"/>
    <w:rsid w:val="008048DE"/>
    <w:rsid w:val="00811F80"/>
    <w:rsid w:val="00814F5E"/>
    <w:rsid w:val="00817152"/>
    <w:rsid w:val="008202E4"/>
    <w:rsid w:val="0087689B"/>
    <w:rsid w:val="008D0182"/>
    <w:rsid w:val="00912EB1"/>
    <w:rsid w:val="00941A3B"/>
    <w:rsid w:val="00982A7A"/>
    <w:rsid w:val="009D322A"/>
    <w:rsid w:val="00A57EFA"/>
    <w:rsid w:val="00A94413"/>
    <w:rsid w:val="00A95CAC"/>
    <w:rsid w:val="00AB11EE"/>
    <w:rsid w:val="00AB51C2"/>
    <w:rsid w:val="00AF49A5"/>
    <w:rsid w:val="00AF4F81"/>
    <w:rsid w:val="00B2180A"/>
    <w:rsid w:val="00B27872"/>
    <w:rsid w:val="00B42F45"/>
    <w:rsid w:val="00B734EE"/>
    <w:rsid w:val="00B85BFA"/>
    <w:rsid w:val="00BC0D3F"/>
    <w:rsid w:val="00BC22C2"/>
    <w:rsid w:val="00BD5846"/>
    <w:rsid w:val="00BE1CAF"/>
    <w:rsid w:val="00BE3413"/>
    <w:rsid w:val="00C05028"/>
    <w:rsid w:val="00C11625"/>
    <w:rsid w:val="00C245F9"/>
    <w:rsid w:val="00C3044A"/>
    <w:rsid w:val="00C43F32"/>
    <w:rsid w:val="00C533AA"/>
    <w:rsid w:val="00C666CE"/>
    <w:rsid w:val="00C70C48"/>
    <w:rsid w:val="00C72E22"/>
    <w:rsid w:val="00C808D7"/>
    <w:rsid w:val="00CA1B0A"/>
    <w:rsid w:val="00CD0A47"/>
    <w:rsid w:val="00CE66DB"/>
    <w:rsid w:val="00D13FF5"/>
    <w:rsid w:val="00D27093"/>
    <w:rsid w:val="00D86B14"/>
    <w:rsid w:val="00D91F09"/>
    <w:rsid w:val="00DA2335"/>
    <w:rsid w:val="00DC2B4C"/>
    <w:rsid w:val="00DD08B5"/>
    <w:rsid w:val="00DD1B01"/>
    <w:rsid w:val="00DD2045"/>
    <w:rsid w:val="00E24D43"/>
    <w:rsid w:val="00E3002D"/>
    <w:rsid w:val="00E370C5"/>
    <w:rsid w:val="00E95EC4"/>
    <w:rsid w:val="00EA74CD"/>
    <w:rsid w:val="00EC179B"/>
    <w:rsid w:val="00EC1AE7"/>
    <w:rsid w:val="00EC37ED"/>
    <w:rsid w:val="00ED1DBB"/>
    <w:rsid w:val="00EE38D8"/>
    <w:rsid w:val="00EF16FC"/>
    <w:rsid w:val="00EF5A02"/>
    <w:rsid w:val="00F01FC9"/>
    <w:rsid w:val="00F02BC4"/>
    <w:rsid w:val="00F059E0"/>
    <w:rsid w:val="00F07B87"/>
    <w:rsid w:val="00F37C79"/>
    <w:rsid w:val="00F46213"/>
    <w:rsid w:val="00F4650A"/>
    <w:rsid w:val="00F52A80"/>
    <w:rsid w:val="00F570CF"/>
    <w:rsid w:val="00F92C18"/>
    <w:rsid w:val="00FA0002"/>
    <w:rsid w:val="00FA3F42"/>
    <w:rsid w:val="00FC6099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77C7"/>
  <w15:docId w15:val="{4B190EC0-CE60-4B14-890E-07283829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2"/>
      <w:sz w:val="24"/>
      <w:szCs w:val="24"/>
      <w:lang w:eastAsia="hi-IN" w:bidi="hi-IN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3573"/>
    <w:pPr>
      <w:keepNext/>
      <w:keepLines/>
      <w:spacing w:before="200"/>
      <w:outlineLvl w:val="6"/>
    </w:pPr>
    <w:rPr>
      <w:rFonts w:asciiTheme="majorHAnsi" w:eastAsiaTheme="majorEastAsia" w:hAnsiTheme="majorHAnsi" w:cs="Mangal"/>
      <w:i/>
      <w:iCs/>
      <w:color w:val="404040" w:themeColor="text1" w:themeTint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b/>
    </w:rPr>
  </w:style>
  <w:style w:type="character" w:customStyle="1" w:styleId="WW8Num2z0">
    <w:name w:val="WW8Num2z0"/>
    <w:qFormat/>
    <w:rPr>
      <w:b/>
    </w:rPr>
  </w:style>
  <w:style w:type="character" w:customStyle="1" w:styleId="WW8Num3z0">
    <w:name w:val="WW8Num3z0"/>
    <w:qFormat/>
    <w:rPr>
      <w:rFonts w:ascii="Calibri" w:eastAsia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Calibri" w:eastAsia="Calibri" w:hAnsi="Calibri" w:cs="Calibri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9z0">
    <w:name w:val="WW8Num9z0"/>
    <w:qFormat/>
    <w:rPr>
      <w:b/>
    </w:rPr>
  </w:style>
  <w:style w:type="character" w:customStyle="1" w:styleId="WW8Num10z0">
    <w:name w:val="WW8Num10z0"/>
    <w:qFormat/>
    <w:rPr>
      <w:b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WW8Num14z0">
    <w:name w:val="WW8Num14z0"/>
    <w:qFormat/>
    <w:rPr>
      <w:rFonts w:ascii="Calibri" w:eastAsia="Calibri" w:hAnsi="Calibri" w:cs="Calibri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8z0">
    <w:name w:val="WW8Num18z0"/>
    <w:qFormat/>
    <w:rPr>
      <w:b/>
    </w:rPr>
  </w:style>
  <w:style w:type="character" w:customStyle="1" w:styleId="Carpredefinitoparagrafo1">
    <w:name w:val="Car. predefinito paragrafo1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PidipaginaCarattere">
    <w:name w:val="Piè di pagina Carattere"/>
    <w:qFormat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TestofumettoCarattere">
    <w:name w:val="Testo fumetto Carattere"/>
    <w:qFormat/>
    <w:rPr>
      <w:rFonts w:ascii="Tahoma" w:eastAsia="Arial Unicode MS" w:hAnsi="Tahoma" w:cs="Mangal"/>
      <w:kern w:val="2"/>
      <w:sz w:val="16"/>
      <w:szCs w:val="14"/>
      <w:lang w:eastAsia="hi-IN" w:bidi="hi-IN"/>
    </w:rPr>
  </w:style>
  <w:style w:type="character" w:styleId="Enfasigrassetto">
    <w:name w:val="Strong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sid w:val="008B23B3"/>
    <w:rPr>
      <w:smallCaps/>
      <w:color w:val="C0504D" w:themeColor="accent2"/>
      <w:u w:val="single"/>
    </w:rPr>
  </w:style>
  <w:style w:type="character" w:customStyle="1" w:styleId="ParagrafoelencoCarattere">
    <w:name w:val="Paragrafo elenco Carattere"/>
    <w:link w:val="Paragrafoelenco"/>
    <w:uiPriority w:val="1"/>
    <w:qFormat/>
    <w:locked/>
    <w:rsid w:val="00321D7C"/>
    <w:rPr>
      <w:rFonts w:eastAsia="Arial Unicode MS" w:cs="Mangal"/>
      <w:kern w:val="2"/>
      <w:sz w:val="24"/>
      <w:szCs w:val="21"/>
      <w:lang w:eastAsia="hi-IN" w:bidi="hi-IN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qFormat/>
    <w:rsid w:val="00EC3573"/>
    <w:rPr>
      <w:rFonts w:asciiTheme="majorHAnsi" w:eastAsiaTheme="majorEastAsia" w:hAnsiTheme="majorHAnsi" w:cs="Mangal"/>
      <w:i/>
      <w:iCs/>
      <w:color w:val="404040" w:themeColor="text1" w:themeTint="BF"/>
      <w:kern w:val="2"/>
      <w:sz w:val="24"/>
      <w:szCs w:val="21"/>
      <w:lang w:eastAsia="hi-IN" w:bidi="hi-IN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4E0EEB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4E0EEB"/>
    <w:rPr>
      <w:rFonts w:eastAsia="Arial Unicode MS" w:cs="Mangal"/>
      <w:kern w:val="2"/>
      <w:szCs w:val="18"/>
      <w:lang w:eastAsia="hi-I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4E0EEB"/>
    <w:rPr>
      <w:rFonts w:eastAsia="Arial Unicode MS" w:cs="Mangal"/>
      <w:b/>
      <w:bCs/>
      <w:kern w:val="2"/>
      <w:szCs w:val="18"/>
      <w:lang w:eastAsia="hi-I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506B3"/>
    <w:rPr>
      <w:color w:val="0000FF" w:themeColor="hyperlink"/>
      <w:u w:val="single"/>
    </w:rPr>
  </w:style>
  <w:style w:type="character" w:customStyle="1" w:styleId="Enfasi">
    <w:name w:val="Enfasi"/>
    <w:basedOn w:val="Carpredefinitoparagrafo"/>
    <w:uiPriority w:val="20"/>
    <w:qFormat/>
    <w:rsid w:val="0008561E"/>
    <w:rPr>
      <w:i/>
      <w:iCs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CD19A2"/>
    <w:rPr>
      <w:rFonts w:ascii="Consolas" w:eastAsia="Arial Unicode MS" w:hAnsi="Consolas" w:cs="Mangal"/>
      <w:kern w:val="2"/>
      <w:szCs w:val="18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3313D"/>
    <w:rPr>
      <w:rFonts w:eastAsia="Arial Unicode MS" w:cs="Arial Unicode MS"/>
      <w:kern w:val="2"/>
      <w:sz w:val="24"/>
      <w:szCs w:val="24"/>
      <w:lang w:eastAsia="hi-IN" w:bidi="hi-IN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Arial Unicode MS" w:cs="Lucida Sans"/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rFonts w:eastAsia="Batang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Calibri" w:cs="Calibri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Calibri" w:cs="Times New Roman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eastAsia="Calibri" w:cs="Times New Roman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Calibri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Calibri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Calibri"/>
    </w:rPr>
  </w:style>
  <w:style w:type="character" w:customStyle="1" w:styleId="ListLabel48">
    <w:name w:val="ListLabel 48"/>
    <w:qFormat/>
    <w:rPr>
      <w:rFonts w:eastAsia="Calibri" w:cs="Calibri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eastAsia="Calibri" w:cs="Calibri"/>
    </w:rPr>
  </w:style>
  <w:style w:type="character" w:customStyle="1" w:styleId="ListLabel53">
    <w:name w:val="ListLabel 53"/>
    <w:qFormat/>
    <w:rPr>
      <w:rFonts w:eastAsia="Calibri" w:cs="Calibri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Calibri"/>
      <w:b/>
      <w:spacing w:val="-17"/>
      <w:w w:val="99"/>
      <w:sz w:val="22"/>
      <w:szCs w:val="22"/>
      <w:lang w:val="en-US" w:eastAsia="en-US" w:bidi="en-US"/>
    </w:rPr>
  </w:style>
  <w:style w:type="character" w:customStyle="1" w:styleId="ListLabel57">
    <w:name w:val="ListLabel 57"/>
    <w:qFormat/>
    <w:rPr>
      <w:rFonts w:eastAsia="Symbol" w:cs="Symbol"/>
      <w:w w:val="100"/>
      <w:sz w:val="22"/>
      <w:szCs w:val="22"/>
      <w:lang w:val="en-US" w:eastAsia="en-US" w:bidi="en-US"/>
    </w:rPr>
  </w:style>
  <w:style w:type="character" w:customStyle="1" w:styleId="ListLabel58">
    <w:name w:val="ListLabel 58"/>
    <w:qFormat/>
    <w:rPr>
      <w:lang w:val="en-US" w:eastAsia="en-US" w:bidi="en-US"/>
    </w:rPr>
  </w:style>
  <w:style w:type="character" w:customStyle="1" w:styleId="ListLabel59">
    <w:name w:val="ListLabel 59"/>
    <w:qFormat/>
    <w:rPr>
      <w:lang w:val="en-US" w:eastAsia="en-US" w:bidi="en-US"/>
    </w:rPr>
  </w:style>
  <w:style w:type="character" w:customStyle="1" w:styleId="ListLabel60">
    <w:name w:val="ListLabel 60"/>
    <w:qFormat/>
    <w:rPr>
      <w:lang w:val="en-US" w:eastAsia="en-US" w:bidi="en-US"/>
    </w:rPr>
  </w:style>
  <w:style w:type="character" w:customStyle="1" w:styleId="ListLabel61">
    <w:name w:val="ListLabel 61"/>
    <w:qFormat/>
    <w:rPr>
      <w:lang w:val="en-US" w:eastAsia="en-US" w:bidi="en-US"/>
    </w:rPr>
  </w:style>
  <w:style w:type="character" w:customStyle="1" w:styleId="ListLabel62">
    <w:name w:val="ListLabel 62"/>
    <w:qFormat/>
    <w:rPr>
      <w:lang w:val="en-US" w:eastAsia="en-US" w:bidi="en-US"/>
    </w:rPr>
  </w:style>
  <w:style w:type="character" w:customStyle="1" w:styleId="ListLabel63">
    <w:name w:val="ListLabel 63"/>
    <w:qFormat/>
    <w:rPr>
      <w:lang w:val="en-US" w:eastAsia="en-US" w:bidi="en-US"/>
    </w:rPr>
  </w:style>
  <w:style w:type="character" w:customStyle="1" w:styleId="ListLabel64">
    <w:name w:val="ListLabel 64"/>
    <w:qFormat/>
    <w:rPr>
      <w:lang w:val="en-US" w:eastAsia="en-US" w:bidi="en-US"/>
    </w:rPr>
  </w:style>
  <w:style w:type="character" w:customStyle="1" w:styleId="ListLabel65">
    <w:name w:val="ListLabel 65"/>
    <w:qFormat/>
    <w:rPr>
      <w:rFonts w:eastAsia="Calibri" w:cs="Calibri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eastAsia="OpenSymbol" w:cs="OpenSymbol"/>
      <w:b/>
      <w:color w:val="000009"/>
      <w:spacing w:val="-18"/>
      <w:w w:val="94"/>
      <w:sz w:val="24"/>
      <w:szCs w:val="24"/>
      <w:lang w:val="de-DE" w:eastAsia="de-DE" w:bidi="de-DE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eastAsia="Calibri" w:cs="Calibri"/>
      <w:b/>
      <w:spacing w:val="-17"/>
      <w:w w:val="99"/>
      <w:sz w:val="22"/>
      <w:szCs w:val="22"/>
      <w:lang w:val="en-US" w:eastAsia="en-US" w:bidi="en-US"/>
    </w:rPr>
  </w:style>
  <w:style w:type="character" w:customStyle="1" w:styleId="ListLabel74">
    <w:name w:val="ListLabel 74"/>
    <w:qFormat/>
    <w:rPr>
      <w:rFonts w:eastAsia="Symbol" w:cs="Symbol"/>
      <w:w w:val="100"/>
      <w:sz w:val="22"/>
      <w:szCs w:val="22"/>
      <w:lang w:val="en-US" w:eastAsia="en-US" w:bidi="en-US"/>
    </w:rPr>
  </w:style>
  <w:style w:type="character" w:customStyle="1" w:styleId="ListLabel75">
    <w:name w:val="ListLabel 75"/>
    <w:qFormat/>
    <w:rPr>
      <w:lang w:val="en-US" w:eastAsia="en-US" w:bidi="en-US"/>
    </w:rPr>
  </w:style>
  <w:style w:type="character" w:customStyle="1" w:styleId="ListLabel76">
    <w:name w:val="ListLabel 76"/>
    <w:qFormat/>
    <w:rPr>
      <w:lang w:val="en-US" w:eastAsia="en-US" w:bidi="en-US"/>
    </w:rPr>
  </w:style>
  <w:style w:type="character" w:customStyle="1" w:styleId="ListLabel77">
    <w:name w:val="ListLabel 77"/>
    <w:qFormat/>
    <w:rPr>
      <w:lang w:val="en-US" w:eastAsia="en-US" w:bidi="en-US"/>
    </w:rPr>
  </w:style>
  <w:style w:type="character" w:customStyle="1" w:styleId="ListLabel78">
    <w:name w:val="ListLabel 78"/>
    <w:qFormat/>
    <w:rPr>
      <w:lang w:val="en-US" w:eastAsia="en-US" w:bidi="en-US"/>
    </w:rPr>
  </w:style>
  <w:style w:type="character" w:customStyle="1" w:styleId="ListLabel79">
    <w:name w:val="ListLabel 79"/>
    <w:qFormat/>
    <w:rPr>
      <w:lang w:val="en-US" w:eastAsia="en-US" w:bidi="en-US"/>
    </w:rPr>
  </w:style>
  <w:style w:type="character" w:customStyle="1" w:styleId="ListLabel80">
    <w:name w:val="ListLabel 80"/>
    <w:qFormat/>
    <w:rPr>
      <w:lang w:val="en-US" w:eastAsia="en-US" w:bidi="en-US"/>
    </w:rPr>
  </w:style>
  <w:style w:type="character" w:customStyle="1" w:styleId="ListLabel81">
    <w:name w:val="ListLabel 81"/>
    <w:qFormat/>
    <w:rPr>
      <w:lang w:val="en-US" w:eastAsia="en-US" w:bidi="en-US"/>
    </w:rPr>
  </w:style>
  <w:style w:type="character" w:customStyle="1" w:styleId="ListLabel82">
    <w:name w:val="ListLabel 82"/>
    <w:qFormat/>
    <w:rPr>
      <w:w w:val="105"/>
    </w:rPr>
  </w:style>
  <w:style w:type="character" w:customStyle="1" w:styleId="ListLabel83">
    <w:name w:val="ListLabel 83"/>
    <w:qFormat/>
    <w:rPr>
      <w:w w:val="105"/>
    </w:rPr>
  </w:style>
  <w:style w:type="character" w:customStyle="1" w:styleId="ListLabel84">
    <w:name w:val="ListLabel 84"/>
    <w:qFormat/>
    <w:rPr>
      <w:w w:val="105"/>
    </w:rPr>
  </w:style>
  <w:style w:type="character" w:customStyle="1" w:styleId="ListLabel85">
    <w:name w:val="ListLabel 85"/>
    <w:qFormat/>
    <w:rPr>
      <w:rFonts w:eastAsia="Calibri" w:cs="Calibri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eastAsia="OpenSymbol" w:cs="OpenSymbol"/>
      <w:b/>
      <w:color w:val="000009"/>
      <w:spacing w:val="-18"/>
      <w:w w:val="100"/>
      <w:sz w:val="24"/>
      <w:szCs w:val="24"/>
      <w:lang w:val="de-DE" w:eastAsia="de-DE" w:bidi="de-DE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eastAsia="Arial Unicode MS"/>
      <w:b w:val="0"/>
      <w:w w:val="100"/>
    </w:rPr>
  </w:style>
  <w:style w:type="character" w:customStyle="1" w:styleId="ListLabel94">
    <w:name w:val="ListLabel 94"/>
    <w:qFormat/>
    <w:rPr>
      <w:rFonts w:eastAsia="Arial Unicode MS" w:cs="Calibri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alibri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7">
    <w:name w:val="ListLabel 107"/>
    <w:qFormat/>
    <w:rPr>
      <w:rFonts w:cs="Calibri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eastAsia="Arial Unicode MS" w:cs="Calibri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eastAsia="Times New Roman" w:cs="Calibri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Caratteridinumerazione">
    <w:name w:val="Caratteri di numerazione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133">
    <w:name w:val="ListLabel 133"/>
    <w:qFormat/>
    <w:rPr>
      <w:rFonts w:ascii="Calibri" w:hAnsi="Calibri" w:cs="Calibri"/>
      <w:sz w:val="22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Calibri" w:hAnsi="Calibri" w:cs="OpenSymbol"/>
      <w:sz w:val="22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ascii="Calibri" w:hAnsi="Calibri" w:cs="OpenSymbol"/>
      <w:sz w:val="22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ascii="Calibri" w:hAnsi="Calibri" w:cs="Calibri"/>
      <w:sz w:val="22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ascii="Calibri" w:hAnsi="Calibri"/>
      <w:b w:val="0"/>
      <w:bCs w:val="0"/>
      <w:sz w:val="22"/>
      <w:szCs w:val="22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ascii="Calibri" w:hAnsi="Calibri" w:cs="OpenSymbol"/>
      <w:sz w:val="22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ascii="Calibri" w:hAnsi="Calibri" w:cs="OpenSymbol"/>
      <w:sz w:val="22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Lineaorizzontale">
    <w:name w:val="Linea orizzontale"/>
    <w:basedOn w:val="Normale"/>
    <w:next w:val="Corpotesto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link w:val="ParagrafoelencoCarattere"/>
    <w:uiPriority w:val="34"/>
    <w:qFormat/>
    <w:pPr>
      <w:ind w:left="708"/>
    </w:pPr>
    <w:rPr>
      <w:rFonts w:cs="Mangal"/>
      <w:szCs w:val="21"/>
    </w:rPr>
  </w:style>
  <w:style w:type="paragraph" w:styleId="Testofumetto">
    <w:name w:val="Balloon Text"/>
    <w:basedOn w:val="Normale"/>
    <w:qFormat/>
    <w:rPr>
      <w:rFonts w:ascii="Tahoma" w:hAnsi="Tahoma" w:cs="Mangal"/>
      <w:sz w:val="16"/>
      <w:szCs w:val="14"/>
    </w:rPr>
  </w:style>
  <w:style w:type="paragraph" w:customStyle="1" w:styleId="Default">
    <w:name w:val="Default"/>
    <w:qFormat/>
    <w:rsid w:val="00FA5D3A"/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Premessa">
    <w:name w:val="Premessa"/>
    <w:basedOn w:val="Normale"/>
    <w:qFormat/>
    <w:rsid w:val="000746DE"/>
    <w:pPr>
      <w:spacing w:after="120" w:line="240" w:lineRule="atLeast"/>
      <w:jc w:val="both"/>
    </w:pPr>
    <w:rPr>
      <w:rFonts w:ascii="Arial" w:eastAsia="Times New Roman" w:hAnsi="Arial" w:cs="Times New Roman"/>
      <w:i/>
      <w:kern w:val="0"/>
      <w:sz w:val="22"/>
      <w:szCs w:val="20"/>
      <w:lang w:eastAsia="ar-SA" w:bidi="ar-SA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4E0EEB"/>
    <w:rPr>
      <w:rFonts w:cs="Mangal"/>
      <w:sz w:val="20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4E0EEB"/>
    <w:rPr>
      <w:b/>
      <w:bCs/>
    </w:rPr>
  </w:style>
  <w:style w:type="paragraph" w:styleId="Nessunaspaziatura">
    <w:name w:val="No Spacing"/>
    <w:uiPriority w:val="1"/>
    <w:qFormat/>
    <w:rsid w:val="00363D1A"/>
    <w:pPr>
      <w:widowControl w:val="0"/>
      <w:suppressAutoHyphens/>
    </w:pPr>
    <w:rPr>
      <w:rFonts w:eastAsia="Arial Unicode MS" w:cs="Mangal"/>
      <w:kern w:val="2"/>
      <w:sz w:val="24"/>
      <w:szCs w:val="21"/>
      <w:lang w:eastAsia="hi-IN" w:bidi="hi-IN"/>
    </w:rPr>
  </w:style>
  <w:style w:type="paragraph" w:styleId="NormaleWeb">
    <w:name w:val="Normal (Web)"/>
    <w:basedOn w:val="Normale"/>
    <w:uiPriority w:val="99"/>
    <w:unhideWhenUsed/>
    <w:qFormat/>
    <w:rsid w:val="0008561E"/>
    <w:pPr>
      <w:widowControl/>
      <w:suppressAutoHyphens w:val="0"/>
      <w:spacing w:beforeAutospacing="1" w:afterAutospacing="1"/>
    </w:pPr>
    <w:rPr>
      <w:rFonts w:eastAsia="Times New Roman" w:cs="Times New Roman"/>
      <w:kern w:val="0"/>
      <w:lang w:eastAsia="it-IT" w:bidi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CD19A2"/>
    <w:rPr>
      <w:rFonts w:ascii="Consolas" w:hAnsi="Consolas" w:cs="Mangal"/>
      <w:sz w:val="20"/>
      <w:szCs w:val="18"/>
    </w:rPr>
  </w:style>
  <w:style w:type="paragraph" w:customStyle="1" w:styleId="Standard">
    <w:name w:val="Standard"/>
    <w:qFormat/>
    <w:rsid w:val="00D45680"/>
    <w:pPr>
      <w:suppressAutoHyphens/>
    </w:pPr>
    <w:rPr>
      <w:kern w:val="2"/>
      <w:sz w:val="24"/>
      <w:lang w:eastAsia="zh-CN" w:bidi="en-US"/>
    </w:rPr>
  </w:style>
  <w:style w:type="paragraph" w:customStyle="1" w:styleId="Body1">
    <w:name w:val="Body 1"/>
    <w:qFormat/>
    <w:rsid w:val="00840D90"/>
    <w:rPr>
      <w:rFonts w:ascii="Helvetica" w:eastAsia="Arial Unicode MS" w:hAnsi="Helvetica"/>
      <w:color w:val="000000"/>
      <w:sz w:val="24"/>
    </w:rPr>
  </w:style>
  <w:style w:type="table" w:styleId="Grigliatabella">
    <w:name w:val="Table Grid"/>
    <w:basedOn w:val="Tabellanormale"/>
    <w:uiPriority w:val="59"/>
    <w:rsid w:val="0063313D"/>
    <w:rPr>
      <w:rFonts w:asciiTheme="minorHAnsi" w:eastAsiaTheme="minorHAnsi" w:hAnsiTheme="minorHAnsi" w:cstheme="minorBidi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3313D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ne">
    <w:name w:val="done"/>
    <w:basedOn w:val="Normale"/>
    <w:rsid w:val="004E1C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4E1C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1E92-9A1A-423A-95CD-5FE7F85D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Annalaura Tezzon</dc:creator>
  <cp:lastModifiedBy>Luigi Perrotta</cp:lastModifiedBy>
  <cp:revision>9</cp:revision>
  <cp:lastPrinted>2021-08-04T10:56:00Z</cp:lastPrinted>
  <dcterms:created xsi:type="dcterms:W3CDTF">2021-10-14T08:32:00Z</dcterms:created>
  <dcterms:modified xsi:type="dcterms:W3CDTF">2021-10-14T11:45:00Z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