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14FE" w:rsidRPr="0092130C" w:rsidRDefault="004F14FE" w:rsidP="00CC5AC7">
      <w:pPr>
        <w:pStyle w:val="NormaleWeb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bookmarkStart w:id="0" w:name="_GoBack"/>
      <w:bookmarkEnd w:id="0"/>
      <w:r w:rsidRPr="0092130C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Aspetti relativi alla valutazione d’impatto ambientale</w:t>
      </w:r>
    </w:p>
    <w:p w:rsidR="004F14FE" w:rsidRPr="0092130C" w:rsidRDefault="004F14FE" w:rsidP="004F14FE">
      <w:pPr>
        <w:pStyle w:val="NormaleWeb"/>
        <w:jc w:val="both"/>
        <w:rPr>
          <w:rFonts w:ascii="Arial" w:hAnsi="Arial" w:cs="Arial"/>
          <w:bCs/>
          <w:sz w:val="22"/>
          <w:szCs w:val="22"/>
        </w:rPr>
      </w:pPr>
      <w:r w:rsidRPr="0092130C">
        <w:rPr>
          <w:rFonts w:ascii="Arial" w:hAnsi="Arial" w:cs="Arial"/>
          <w:bCs/>
          <w:sz w:val="22"/>
          <w:szCs w:val="22"/>
        </w:rPr>
        <w:t xml:space="preserve">Il Programma di Azione di rinaturazione </w:t>
      </w:r>
      <w:r w:rsidR="00745E21">
        <w:rPr>
          <w:rFonts w:ascii="Arial" w:hAnsi="Arial" w:cs="Arial"/>
          <w:bCs/>
          <w:sz w:val="22"/>
          <w:szCs w:val="22"/>
        </w:rPr>
        <w:t xml:space="preserve">è </w:t>
      </w:r>
      <w:r w:rsidR="009D54F7">
        <w:rPr>
          <w:rFonts w:ascii="Arial" w:hAnsi="Arial" w:cs="Arial"/>
          <w:bCs/>
          <w:sz w:val="22"/>
          <w:szCs w:val="22"/>
        </w:rPr>
        <w:t xml:space="preserve">un progetto </w:t>
      </w:r>
      <w:r w:rsidR="00745E21">
        <w:rPr>
          <w:rFonts w:ascii="Arial" w:hAnsi="Arial" w:cs="Arial"/>
          <w:bCs/>
          <w:sz w:val="22"/>
          <w:szCs w:val="22"/>
        </w:rPr>
        <w:t xml:space="preserve">costituito </w:t>
      </w:r>
      <w:r w:rsidRPr="0092130C">
        <w:rPr>
          <w:rFonts w:ascii="Arial" w:hAnsi="Arial" w:cs="Arial"/>
          <w:bCs/>
          <w:sz w:val="22"/>
          <w:szCs w:val="22"/>
        </w:rPr>
        <w:t>da 56 interventi distribuiti lungo il corso del Po, dall’area torinese alla foce.</w:t>
      </w:r>
    </w:p>
    <w:p w:rsidR="004F14FE" w:rsidRPr="0092130C" w:rsidRDefault="004F14FE" w:rsidP="004F14FE">
      <w:pPr>
        <w:pStyle w:val="NormaleWeb"/>
        <w:jc w:val="both"/>
        <w:rPr>
          <w:rFonts w:ascii="Arial" w:hAnsi="Arial" w:cs="Arial"/>
          <w:bCs/>
          <w:sz w:val="22"/>
          <w:szCs w:val="22"/>
        </w:rPr>
      </w:pPr>
      <w:r w:rsidRPr="0092130C">
        <w:rPr>
          <w:rFonts w:ascii="Arial" w:hAnsi="Arial" w:cs="Arial"/>
          <w:bCs/>
          <w:sz w:val="22"/>
          <w:szCs w:val="22"/>
        </w:rPr>
        <w:t>Gli interventi sono pertanto interconnes</w:t>
      </w:r>
      <w:r w:rsidR="00745E21">
        <w:rPr>
          <w:rFonts w:ascii="Arial" w:hAnsi="Arial" w:cs="Arial"/>
          <w:bCs/>
          <w:sz w:val="22"/>
          <w:szCs w:val="22"/>
        </w:rPr>
        <w:t xml:space="preserve">si per gli aspetti idraulici ed </w:t>
      </w:r>
      <w:r w:rsidRPr="0092130C">
        <w:rPr>
          <w:rFonts w:ascii="Arial" w:hAnsi="Arial" w:cs="Arial"/>
          <w:bCs/>
          <w:sz w:val="22"/>
          <w:szCs w:val="22"/>
        </w:rPr>
        <w:t>ambientali</w:t>
      </w:r>
      <w:r w:rsidR="00745E21">
        <w:rPr>
          <w:rFonts w:ascii="Arial" w:hAnsi="Arial" w:cs="Arial"/>
          <w:bCs/>
          <w:sz w:val="22"/>
          <w:szCs w:val="22"/>
        </w:rPr>
        <w:t>, andando ad intervenire su</w:t>
      </w:r>
      <w:r w:rsidRPr="0092130C">
        <w:rPr>
          <w:rFonts w:ascii="Arial" w:hAnsi="Arial" w:cs="Arial"/>
          <w:bCs/>
          <w:sz w:val="22"/>
          <w:szCs w:val="22"/>
        </w:rPr>
        <w:t>ll’intero corso del fiume Po</w:t>
      </w:r>
      <w:r w:rsidR="00581FFF">
        <w:rPr>
          <w:rFonts w:ascii="Arial" w:hAnsi="Arial" w:cs="Arial"/>
          <w:bCs/>
          <w:sz w:val="22"/>
          <w:szCs w:val="22"/>
        </w:rPr>
        <w:t xml:space="preserve"> in zona con vincolo </w:t>
      </w:r>
      <w:proofErr w:type="spellStart"/>
      <w:r w:rsidR="00581FFF">
        <w:rPr>
          <w:rFonts w:ascii="Arial" w:hAnsi="Arial" w:cs="Arial"/>
          <w:bCs/>
          <w:sz w:val="22"/>
          <w:szCs w:val="22"/>
        </w:rPr>
        <w:t>paessagistico</w:t>
      </w:r>
      <w:proofErr w:type="spellEnd"/>
      <w:r w:rsidR="00581FFF">
        <w:rPr>
          <w:rFonts w:ascii="Arial" w:hAnsi="Arial" w:cs="Arial"/>
          <w:bCs/>
          <w:sz w:val="22"/>
          <w:szCs w:val="22"/>
        </w:rPr>
        <w:t xml:space="preserve">, all’interno di parchi e zona SPS e SIC di rete Natura 2000. </w:t>
      </w:r>
    </w:p>
    <w:p w:rsidR="009D54F7" w:rsidRPr="003E216F" w:rsidRDefault="009D54F7" w:rsidP="009D54F7">
      <w:pPr>
        <w:pStyle w:val="NormaleWeb"/>
        <w:jc w:val="both"/>
        <w:rPr>
          <w:rFonts w:ascii="Arial" w:hAnsi="Arial" w:cs="Arial"/>
          <w:bCs/>
          <w:sz w:val="22"/>
          <w:szCs w:val="22"/>
        </w:rPr>
      </w:pPr>
      <w:r w:rsidRPr="003E216F">
        <w:rPr>
          <w:rFonts w:ascii="Arial" w:hAnsi="Arial" w:cs="Arial"/>
          <w:bCs/>
          <w:sz w:val="22"/>
          <w:szCs w:val="22"/>
        </w:rPr>
        <w:t xml:space="preserve">La Valutazione di impatto ambientale (Via) non può essere evitata frazionando artificiosamente un intervento unitario. </w:t>
      </w:r>
    </w:p>
    <w:p w:rsidR="009D54F7" w:rsidRDefault="009D54F7" w:rsidP="009D54F7">
      <w:pPr>
        <w:pStyle w:val="NormaleWeb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9D54F7">
        <w:rPr>
          <w:rFonts w:ascii="Arial" w:hAnsi="Arial" w:cs="Arial"/>
          <w:bCs/>
          <w:sz w:val="22"/>
          <w:szCs w:val="22"/>
          <w:u w:val="single"/>
        </w:rPr>
        <w:t>La disciplina relativa alla Via non può essere elusa a mezzo di un riferimento a realizzazioni o interventi parziali, caratteristici nelle opere da realizzarsi per “singoli interventi”. Se così fosse si trasferirebbe in capo ai soggetti redattori dei progetti il potere di determinare i limiti della procedura di Via con conseguente espropriazione delle competenze istituzionali dell’amministrazione competente e sostanziale elusione delle finalità perseguite dalla legge.</w:t>
      </w:r>
    </w:p>
    <w:p w:rsidR="00C00F65" w:rsidRDefault="009D40D7" w:rsidP="00C00F65">
      <w:pPr>
        <w:pStyle w:val="NormaleWeb"/>
        <w:jc w:val="both"/>
        <w:rPr>
          <w:rFonts w:ascii="Arial" w:hAnsi="Arial" w:cs="Arial"/>
          <w:bCs/>
          <w:sz w:val="22"/>
          <w:szCs w:val="22"/>
        </w:rPr>
      </w:pPr>
      <w:r w:rsidRPr="0021347C">
        <w:rPr>
          <w:rFonts w:ascii="Arial" w:hAnsi="Arial" w:cs="Arial"/>
          <w:bCs/>
          <w:sz w:val="22"/>
          <w:szCs w:val="22"/>
        </w:rPr>
        <w:t>Gli interventi idraulici</w:t>
      </w:r>
      <w:r w:rsidR="0021347C" w:rsidRPr="0021347C">
        <w:rPr>
          <w:rFonts w:ascii="Arial" w:hAnsi="Arial" w:cs="Arial"/>
          <w:bCs/>
          <w:sz w:val="22"/>
          <w:szCs w:val="22"/>
        </w:rPr>
        <w:t xml:space="preserve"> previsti in ogni singola scheda</w:t>
      </w:r>
      <w:r w:rsidR="0021347C">
        <w:rPr>
          <w:rFonts w:ascii="Arial" w:hAnsi="Arial" w:cs="Arial"/>
          <w:bCs/>
          <w:sz w:val="22"/>
          <w:szCs w:val="22"/>
        </w:rPr>
        <w:t>,</w:t>
      </w:r>
      <w:r w:rsidR="0021347C" w:rsidRPr="0021347C">
        <w:rPr>
          <w:rFonts w:ascii="Arial" w:hAnsi="Arial" w:cs="Arial"/>
          <w:bCs/>
          <w:sz w:val="22"/>
          <w:szCs w:val="22"/>
        </w:rPr>
        <w:t xml:space="preserve"> </w:t>
      </w:r>
      <w:r w:rsidR="003E216F">
        <w:rPr>
          <w:rFonts w:ascii="Arial" w:hAnsi="Arial" w:cs="Arial"/>
          <w:bCs/>
          <w:sz w:val="22"/>
          <w:szCs w:val="22"/>
        </w:rPr>
        <w:t>pur andando</w:t>
      </w:r>
      <w:r w:rsidR="003E216F" w:rsidRPr="003E216F">
        <w:rPr>
          <w:rFonts w:ascii="Arial" w:hAnsi="Arial" w:cs="Arial"/>
          <w:bCs/>
          <w:sz w:val="22"/>
          <w:szCs w:val="22"/>
        </w:rPr>
        <w:t xml:space="preserve"> nel senso della riduzione dell’artificialità dell’alveo</w:t>
      </w:r>
      <w:r w:rsidR="003E216F">
        <w:rPr>
          <w:rFonts w:ascii="Arial" w:hAnsi="Arial" w:cs="Arial"/>
          <w:bCs/>
          <w:sz w:val="22"/>
          <w:szCs w:val="22"/>
        </w:rPr>
        <w:t>, c</w:t>
      </w:r>
      <w:r w:rsidR="003E216F" w:rsidRPr="003E216F">
        <w:rPr>
          <w:rFonts w:ascii="Arial" w:hAnsi="Arial" w:cs="Arial"/>
          <w:bCs/>
          <w:sz w:val="22"/>
          <w:szCs w:val="22"/>
        </w:rPr>
        <w:t xml:space="preserve">on lo scopo di non contrastare la dinamica fluviale, ridurre l’artificialità delle sponde, aumentare la naturalità del corridoio ecologico del Po, attraverso la riattivazione di lanche e rami abbandonati </w:t>
      </w:r>
      <w:r w:rsidR="003E216F">
        <w:rPr>
          <w:rFonts w:ascii="Arial" w:hAnsi="Arial" w:cs="Arial"/>
          <w:bCs/>
          <w:sz w:val="22"/>
          <w:szCs w:val="22"/>
        </w:rPr>
        <w:t xml:space="preserve">vanno ad incidere in modo significativo </w:t>
      </w:r>
      <w:r w:rsidR="003E216F" w:rsidRPr="009D40D7">
        <w:rPr>
          <w:rFonts w:ascii="Arial" w:hAnsi="Arial" w:cs="Arial"/>
          <w:bCs/>
          <w:sz w:val="22"/>
          <w:szCs w:val="22"/>
        </w:rPr>
        <w:t>sul regime delle acque</w:t>
      </w:r>
      <w:r w:rsidR="003E216F">
        <w:rPr>
          <w:rFonts w:ascii="Arial" w:hAnsi="Arial" w:cs="Arial"/>
          <w:bCs/>
          <w:sz w:val="22"/>
          <w:szCs w:val="22"/>
        </w:rPr>
        <w:t>.</w:t>
      </w:r>
    </w:p>
    <w:p w:rsidR="000164AF" w:rsidRDefault="003E216F" w:rsidP="00C00F65">
      <w:pPr>
        <w:pStyle w:val="NormaleWeb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Gli stessi interventi idraulici prevedono </w:t>
      </w:r>
      <w:r w:rsidR="008D5E40">
        <w:rPr>
          <w:rFonts w:ascii="Arial" w:hAnsi="Arial" w:cs="Arial"/>
          <w:bCs/>
          <w:sz w:val="22"/>
          <w:szCs w:val="22"/>
        </w:rPr>
        <w:t xml:space="preserve">lo spostamento di ingenti quantitativi di </w:t>
      </w:r>
      <w:r>
        <w:rPr>
          <w:rFonts w:ascii="Arial" w:hAnsi="Arial" w:cs="Arial"/>
          <w:bCs/>
          <w:sz w:val="22"/>
          <w:szCs w:val="22"/>
        </w:rPr>
        <w:t>materiale inerte</w:t>
      </w:r>
      <w:r w:rsidR="008D5E40">
        <w:rPr>
          <w:rFonts w:ascii="Arial" w:hAnsi="Arial" w:cs="Arial"/>
          <w:bCs/>
          <w:sz w:val="22"/>
          <w:szCs w:val="22"/>
        </w:rPr>
        <w:t xml:space="preserve"> (mediamente 40.000 mc per ogni intervento). Il materiale inerte asportato, </w:t>
      </w:r>
      <w:r w:rsidR="000164AF">
        <w:rPr>
          <w:rFonts w:ascii="Arial" w:hAnsi="Arial" w:cs="Arial"/>
          <w:bCs/>
          <w:sz w:val="22"/>
          <w:szCs w:val="22"/>
        </w:rPr>
        <w:t>viene</w:t>
      </w:r>
      <w:r w:rsidR="008D5E4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gestito </w:t>
      </w:r>
      <w:r w:rsidR="008D5E40">
        <w:rPr>
          <w:rFonts w:ascii="Arial" w:hAnsi="Arial" w:cs="Arial"/>
          <w:bCs/>
          <w:sz w:val="22"/>
          <w:szCs w:val="22"/>
        </w:rPr>
        <w:t>come sottoprodotto, ai sensi dell’art. 24 del  DPR 120/2017, ovvero escluso dall</w:t>
      </w:r>
      <w:r w:rsidR="008D5E40" w:rsidRPr="008D5E40">
        <w:rPr>
          <w:rFonts w:ascii="Arial" w:hAnsi="Arial" w:cs="Arial"/>
          <w:bCs/>
          <w:sz w:val="22"/>
          <w:szCs w:val="22"/>
        </w:rPr>
        <w:t>a normativa sui rifiuti</w:t>
      </w:r>
      <w:r w:rsidR="008D5E40">
        <w:rPr>
          <w:rFonts w:ascii="Arial" w:hAnsi="Arial" w:cs="Arial"/>
          <w:bCs/>
          <w:sz w:val="22"/>
          <w:szCs w:val="22"/>
        </w:rPr>
        <w:t xml:space="preserve"> in quanto </w:t>
      </w:r>
      <w:r w:rsidR="008D5E40" w:rsidRPr="008D5E40">
        <w:rPr>
          <w:rFonts w:ascii="Arial" w:hAnsi="Arial" w:cs="Arial"/>
          <w:bCs/>
          <w:sz w:val="22"/>
          <w:szCs w:val="22"/>
        </w:rPr>
        <w:t>utilizzat</w:t>
      </w:r>
      <w:r w:rsidR="008D5E40">
        <w:rPr>
          <w:rFonts w:ascii="Arial" w:hAnsi="Arial" w:cs="Arial"/>
          <w:bCs/>
          <w:sz w:val="22"/>
          <w:szCs w:val="22"/>
        </w:rPr>
        <w:t>o</w:t>
      </w:r>
      <w:r w:rsidR="008D5E40" w:rsidRPr="008D5E40">
        <w:rPr>
          <w:rFonts w:ascii="Arial" w:hAnsi="Arial" w:cs="Arial"/>
          <w:bCs/>
          <w:sz w:val="22"/>
          <w:szCs w:val="22"/>
        </w:rPr>
        <w:t xml:space="preserve"> nel sito di produzione</w:t>
      </w:r>
      <w:r w:rsidR="000164AF">
        <w:rPr>
          <w:rFonts w:ascii="Arial" w:hAnsi="Arial" w:cs="Arial"/>
          <w:bCs/>
          <w:sz w:val="22"/>
          <w:szCs w:val="22"/>
        </w:rPr>
        <w:t xml:space="preserve">. L’estrazione del materiale inerte  avviene anche per il successivo impiego come materiale d’opera e pertanto tale operazione </w:t>
      </w:r>
      <w:r w:rsidR="008D5E40">
        <w:rPr>
          <w:rFonts w:ascii="Arial" w:hAnsi="Arial" w:cs="Arial"/>
          <w:bCs/>
          <w:sz w:val="22"/>
          <w:szCs w:val="22"/>
        </w:rPr>
        <w:t>rientra nella fattispecie progettuale dell’”</w:t>
      </w:r>
      <w:r w:rsidR="008D5E40" w:rsidRPr="009D40D7">
        <w:rPr>
          <w:rFonts w:ascii="Arial" w:hAnsi="Arial" w:cs="Arial"/>
          <w:bCs/>
          <w:sz w:val="22"/>
          <w:szCs w:val="22"/>
        </w:rPr>
        <w:t>estrazione di materiali litoidi dal demanio fluviale</w:t>
      </w:r>
      <w:r w:rsidR="008D5E40">
        <w:rPr>
          <w:rFonts w:ascii="Arial" w:hAnsi="Arial" w:cs="Arial"/>
          <w:bCs/>
          <w:sz w:val="22"/>
          <w:szCs w:val="22"/>
        </w:rPr>
        <w:t xml:space="preserve">”, che </w:t>
      </w:r>
      <w:r w:rsidR="00361B79">
        <w:rPr>
          <w:rFonts w:ascii="Arial" w:hAnsi="Arial" w:cs="Arial"/>
          <w:bCs/>
          <w:sz w:val="22"/>
          <w:szCs w:val="22"/>
        </w:rPr>
        <w:t xml:space="preserve">la norma in materia di VIA </w:t>
      </w:r>
      <w:r w:rsidR="008D5E40">
        <w:rPr>
          <w:rFonts w:ascii="Arial" w:hAnsi="Arial" w:cs="Arial"/>
          <w:bCs/>
          <w:sz w:val="22"/>
          <w:szCs w:val="22"/>
        </w:rPr>
        <w:t xml:space="preserve">non pone soglie </w:t>
      </w:r>
      <w:r w:rsidR="00361B79">
        <w:rPr>
          <w:rFonts w:ascii="Arial" w:hAnsi="Arial" w:cs="Arial"/>
          <w:bCs/>
          <w:sz w:val="22"/>
          <w:szCs w:val="22"/>
        </w:rPr>
        <w:t>dimensionali</w:t>
      </w:r>
      <w:r w:rsidR="008D5E40">
        <w:rPr>
          <w:rFonts w:ascii="Arial" w:hAnsi="Arial" w:cs="Arial"/>
          <w:bCs/>
          <w:sz w:val="22"/>
          <w:szCs w:val="22"/>
        </w:rPr>
        <w:t>.</w:t>
      </w:r>
      <w:r w:rsidR="000164AF" w:rsidRPr="000164AF">
        <w:rPr>
          <w:rFonts w:ascii="Arial" w:hAnsi="Arial" w:cs="Arial"/>
          <w:bCs/>
          <w:sz w:val="22"/>
          <w:szCs w:val="22"/>
        </w:rPr>
        <w:t xml:space="preserve"> </w:t>
      </w:r>
    </w:p>
    <w:p w:rsidR="000164AF" w:rsidRDefault="000164AF" w:rsidP="000164AF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Per i motivi sopra esposti il progetto di rinaturazione rientra nella tipologia progettuale dell’Allegato IV alla Parte quarta del </w:t>
      </w:r>
      <w:proofErr w:type="spellStart"/>
      <w:r>
        <w:rPr>
          <w:rFonts w:ascii="Arial" w:hAnsi="Arial" w:cs="Arial"/>
          <w:bCs/>
          <w:sz w:val="22"/>
          <w:szCs w:val="22"/>
        </w:rPr>
        <w:t>DLGs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152.2006 e </w:t>
      </w:r>
      <w:proofErr w:type="spellStart"/>
      <w:r>
        <w:rPr>
          <w:rFonts w:ascii="Arial" w:hAnsi="Arial" w:cs="Arial"/>
          <w:bCs/>
          <w:sz w:val="22"/>
          <w:szCs w:val="22"/>
        </w:rPr>
        <w:t>smi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r w:rsidRPr="000164AF">
        <w:rPr>
          <w:rFonts w:ascii="Arial" w:hAnsi="Arial" w:cs="Arial"/>
          <w:bCs/>
          <w:i/>
          <w:iCs/>
          <w:sz w:val="22"/>
          <w:szCs w:val="22"/>
        </w:rPr>
        <w:t>“o) opere di regolazione del corso dei fiumi e dei torrenti, canalizzazione e interventi di bonifica ed altri simili destinati ad incidere sul regime delle acque, compresi quelli di estrazione di materiali litoidi dal demanio fluviale e lacuale</w:t>
      </w:r>
      <w:r>
        <w:rPr>
          <w:rFonts w:ascii="Arial" w:hAnsi="Arial" w:cs="Arial"/>
          <w:bCs/>
          <w:sz w:val="22"/>
          <w:szCs w:val="22"/>
        </w:rPr>
        <w:t>”.</w:t>
      </w:r>
    </w:p>
    <w:p w:rsidR="003E216F" w:rsidRDefault="00361B79" w:rsidP="00361B79">
      <w:pPr>
        <w:pStyle w:val="NormaleWeb"/>
        <w:jc w:val="both"/>
        <w:rPr>
          <w:rFonts w:ascii="Arial" w:hAnsi="Arial" w:cs="Arial"/>
          <w:sz w:val="22"/>
          <w:szCs w:val="22"/>
        </w:rPr>
      </w:pPr>
      <w:r w:rsidRPr="0092130C">
        <w:rPr>
          <w:rFonts w:ascii="Arial" w:hAnsi="Arial" w:cs="Arial"/>
          <w:sz w:val="22"/>
          <w:szCs w:val="22"/>
        </w:rPr>
        <w:t xml:space="preserve">Non viene presa in considerazione la tipologia progettuale di cui all’allegato IV del Dlgs 152.2006 e </w:t>
      </w:r>
      <w:proofErr w:type="spellStart"/>
      <w:r w:rsidRPr="0092130C">
        <w:rPr>
          <w:rFonts w:ascii="Arial" w:hAnsi="Arial" w:cs="Arial"/>
          <w:sz w:val="22"/>
          <w:szCs w:val="22"/>
        </w:rPr>
        <w:t>smi</w:t>
      </w:r>
      <w:proofErr w:type="spellEnd"/>
      <w:r w:rsidRPr="0092130C">
        <w:rPr>
          <w:rFonts w:ascii="Arial" w:hAnsi="Arial" w:cs="Arial"/>
          <w:sz w:val="22"/>
          <w:szCs w:val="22"/>
        </w:rPr>
        <w:t xml:space="preserve"> punto 1, lettera b) </w:t>
      </w:r>
      <w:r w:rsidRPr="000164AF">
        <w:rPr>
          <w:rFonts w:ascii="Arial" w:hAnsi="Arial" w:cs="Arial"/>
          <w:i/>
          <w:iCs/>
          <w:sz w:val="22"/>
          <w:szCs w:val="22"/>
        </w:rPr>
        <w:t>“iniziale forestazione di una superficie superiore a 20 ettari”</w:t>
      </w:r>
      <w:r w:rsidRPr="0092130C">
        <w:rPr>
          <w:rFonts w:ascii="Arial" w:hAnsi="Arial" w:cs="Arial"/>
          <w:sz w:val="22"/>
          <w:szCs w:val="22"/>
        </w:rPr>
        <w:t xml:space="preserve"> anche in virtù del fatto che trattandosi di zona in vincolo paesaggistico, si ricade nell’applicazione del DM 52 del 30/03/2015 (dimezzamento delle soglie progettuali).</w:t>
      </w:r>
      <w:r>
        <w:rPr>
          <w:rFonts w:ascii="Arial" w:hAnsi="Arial" w:cs="Arial"/>
          <w:sz w:val="22"/>
          <w:szCs w:val="22"/>
        </w:rPr>
        <w:t xml:space="preserve"> </w:t>
      </w:r>
    </w:p>
    <w:p w:rsidR="00B138BA" w:rsidRPr="00E1544C" w:rsidRDefault="00B138BA" w:rsidP="00361B79">
      <w:pPr>
        <w:pStyle w:val="NormaleWeb"/>
        <w:jc w:val="both"/>
        <w:rPr>
          <w:rFonts w:ascii="Arial" w:hAnsi="Arial" w:cs="Arial"/>
          <w:sz w:val="22"/>
          <w:szCs w:val="22"/>
          <w:u w:val="single"/>
        </w:rPr>
      </w:pPr>
      <w:r w:rsidRPr="00E1544C">
        <w:rPr>
          <w:rFonts w:ascii="Arial" w:hAnsi="Arial" w:cs="Arial"/>
          <w:sz w:val="22"/>
          <w:szCs w:val="22"/>
          <w:u w:val="single"/>
        </w:rPr>
        <w:t xml:space="preserve">Nell’iter d’approvazione del primo stralcio, AIPO ha giustificato la mancata attivazione della procedura di VIA, in quanto i soggetti deputati, (pur avendo richiesto l’attivazione nella conferenza dei servizi) nei tavoli di lavoro e alle cabine di regia non hanno evidenziato alcuna necessità nella procedura autorizzativa ambientale.  </w:t>
      </w:r>
    </w:p>
    <w:p w:rsidR="00C00F65" w:rsidRPr="00E1544C" w:rsidRDefault="00B138BA" w:rsidP="00C00F65">
      <w:pPr>
        <w:pStyle w:val="NormaleWeb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E1544C">
        <w:rPr>
          <w:rFonts w:ascii="Arial" w:hAnsi="Arial" w:cs="Arial"/>
          <w:bCs/>
          <w:sz w:val="22"/>
          <w:szCs w:val="22"/>
          <w:u w:val="single"/>
        </w:rPr>
        <w:t xml:space="preserve">Quanto sopra illustrato </w:t>
      </w:r>
      <w:r w:rsidR="00C00F65" w:rsidRPr="00E1544C">
        <w:rPr>
          <w:rFonts w:ascii="Arial" w:hAnsi="Arial" w:cs="Arial"/>
          <w:b/>
          <w:sz w:val="22"/>
          <w:szCs w:val="22"/>
          <w:u w:val="single"/>
        </w:rPr>
        <w:t xml:space="preserve">evidenzia l’omissione </w:t>
      </w:r>
      <w:r w:rsidRPr="00E1544C">
        <w:rPr>
          <w:rFonts w:ascii="Arial" w:hAnsi="Arial" w:cs="Arial"/>
          <w:b/>
          <w:sz w:val="22"/>
          <w:szCs w:val="22"/>
          <w:u w:val="single"/>
        </w:rPr>
        <w:t xml:space="preserve">da parte di AIPO </w:t>
      </w:r>
      <w:r w:rsidR="00C00F65" w:rsidRPr="00E1544C">
        <w:rPr>
          <w:rFonts w:ascii="Arial" w:hAnsi="Arial" w:cs="Arial"/>
          <w:bCs/>
          <w:sz w:val="22"/>
          <w:szCs w:val="22"/>
          <w:u w:val="single"/>
        </w:rPr>
        <w:t>dell’applicazione della normativa in materia di VIA per le seguenti tipologie progettuali</w:t>
      </w:r>
      <w:r w:rsidR="00E1544C" w:rsidRPr="00E1544C">
        <w:rPr>
          <w:rFonts w:ascii="Arial" w:hAnsi="Arial" w:cs="Arial"/>
          <w:bCs/>
          <w:sz w:val="22"/>
          <w:szCs w:val="22"/>
          <w:u w:val="single"/>
        </w:rPr>
        <w:t xml:space="preserve"> (allegato IV alla parte seconda del DLGS 152/2006 e </w:t>
      </w:r>
      <w:proofErr w:type="spellStart"/>
      <w:r w:rsidR="00E1544C" w:rsidRPr="00E1544C">
        <w:rPr>
          <w:rFonts w:ascii="Arial" w:hAnsi="Arial" w:cs="Arial"/>
          <w:bCs/>
          <w:sz w:val="22"/>
          <w:szCs w:val="22"/>
          <w:u w:val="single"/>
        </w:rPr>
        <w:t>smi</w:t>
      </w:r>
      <w:proofErr w:type="spellEnd"/>
      <w:r w:rsidRPr="00E1544C">
        <w:rPr>
          <w:rFonts w:ascii="Arial" w:hAnsi="Arial" w:cs="Arial"/>
          <w:bCs/>
          <w:sz w:val="22"/>
          <w:szCs w:val="22"/>
          <w:u w:val="single"/>
        </w:rPr>
        <w:t>:</w:t>
      </w:r>
    </w:p>
    <w:p w:rsidR="00C00F65" w:rsidRDefault="00E1544C" w:rsidP="00C00F65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7. lettera o</w:t>
      </w:r>
      <w:r w:rsidR="00C00F65" w:rsidRPr="009D40D7">
        <w:rPr>
          <w:rFonts w:ascii="Arial" w:hAnsi="Arial" w:cs="Arial"/>
          <w:bCs/>
          <w:sz w:val="22"/>
          <w:szCs w:val="22"/>
        </w:rPr>
        <w:t xml:space="preserve"> “Opere di canalizzazione e di regolazione dei corsi d’acqua”</w:t>
      </w:r>
      <w:r w:rsidR="00C00F65">
        <w:rPr>
          <w:rFonts w:ascii="Arial" w:hAnsi="Arial" w:cs="Arial"/>
          <w:bCs/>
          <w:sz w:val="22"/>
          <w:szCs w:val="22"/>
        </w:rPr>
        <w:t xml:space="preserve"> in quanto i 56 interventi del progetto vanno ad intervenire sulla regimazione </w:t>
      </w:r>
    </w:p>
    <w:p w:rsidR="00E1544C" w:rsidRDefault="00E1544C" w:rsidP="00C00F65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92130C">
        <w:rPr>
          <w:rFonts w:ascii="Arial" w:hAnsi="Arial" w:cs="Arial"/>
          <w:sz w:val="22"/>
          <w:szCs w:val="22"/>
        </w:rPr>
        <w:t xml:space="preserve">1, lettera b) </w:t>
      </w:r>
      <w:r w:rsidRPr="000164AF">
        <w:rPr>
          <w:rFonts w:ascii="Arial" w:hAnsi="Arial" w:cs="Arial"/>
          <w:i/>
          <w:iCs/>
          <w:sz w:val="22"/>
          <w:szCs w:val="22"/>
        </w:rPr>
        <w:t>“iniziale forestazione di una superficie superiore a 20 ettar</w:t>
      </w:r>
      <w:r>
        <w:rPr>
          <w:rFonts w:ascii="Arial" w:hAnsi="Arial" w:cs="Arial"/>
          <w:i/>
          <w:iCs/>
          <w:sz w:val="22"/>
          <w:szCs w:val="22"/>
        </w:rPr>
        <w:t>i”</w:t>
      </w:r>
    </w:p>
    <w:p w:rsidR="009D40D7" w:rsidRPr="0021347C" w:rsidRDefault="00E1544C" w:rsidP="009D54F7">
      <w:pPr>
        <w:pStyle w:val="NormaleWeb"/>
        <w:jc w:val="both"/>
        <w:rPr>
          <w:rFonts w:ascii="Arial" w:hAnsi="Arial" w:cs="Arial"/>
          <w:bCs/>
          <w:sz w:val="22"/>
          <w:szCs w:val="22"/>
        </w:rPr>
      </w:pPr>
      <w:r w:rsidRPr="00E1544C">
        <w:rPr>
          <w:rFonts w:ascii="Arial" w:hAnsi="Arial" w:cs="Arial"/>
          <w:bCs/>
          <w:sz w:val="22"/>
          <w:szCs w:val="22"/>
        </w:rPr>
        <w:lastRenderedPageBreak/>
        <w:t>o) opere di regolazione del corso dei fiumi e dei torrenti, canalizzazione e interventi di bonifica ed altri simili destinati ad incidere sul regime delle acque, compresi quelli di estrazione di materiali litoidi dal demanio fluviale e lacuale</w:t>
      </w:r>
      <w:r>
        <w:rPr>
          <w:rFonts w:ascii="Arial" w:hAnsi="Arial" w:cs="Arial"/>
          <w:bCs/>
          <w:sz w:val="22"/>
          <w:szCs w:val="22"/>
        </w:rPr>
        <w:t>.</w:t>
      </w:r>
    </w:p>
    <w:p w:rsidR="00361B79" w:rsidRDefault="00361B79" w:rsidP="009D54F7">
      <w:pPr>
        <w:pStyle w:val="NormaleWeb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E1544C" w:rsidRDefault="00E1544C" w:rsidP="00E1544C">
      <w:pPr>
        <w:pStyle w:val="NormaleWeb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92130C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Aspetti relativi a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i guadi</w:t>
      </w:r>
    </w:p>
    <w:p w:rsidR="00E1544C" w:rsidRDefault="00E1544C" w:rsidP="00E1544C">
      <w:pPr>
        <w:pStyle w:val="NormaleWeb"/>
        <w:rPr>
          <w:rFonts w:ascii="Arial" w:hAnsi="Arial" w:cs="Arial"/>
          <w:color w:val="000000"/>
          <w:sz w:val="22"/>
          <w:szCs w:val="22"/>
        </w:rPr>
      </w:pPr>
      <w:r w:rsidRPr="00E1544C">
        <w:rPr>
          <w:rFonts w:ascii="Arial" w:hAnsi="Arial" w:cs="Arial"/>
          <w:color w:val="000000"/>
          <w:sz w:val="22"/>
          <w:szCs w:val="22"/>
        </w:rPr>
        <w:t xml:space="preserve">La riattivazione delle lanche comporta </w:t>
      </w:r>
      <w:r>
        <w:rPr>
          <w:rFonts w:ascii="Arial" w:hAnsi="Arial" w:cs="Arial"/>
          <w:color w:val="000000"/>
          <w:sz w:val="22"/>
          <w:szCs w:val="22"/>
        </w:rPr>
        <w:t>l’isolamento fisico delle isole fluviali interposte tra il fiume e le lanche riattivate.</w:t>
      </w:r>
    </w:p>
    <w:p w:rsidR="002D2929" w:rsidRDefault="002D2929" w:rsidP="002D2929">
      <w:pPr>
        <w:pStyle w:val="NormaleWeb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 guadi devono avere una quota di transito ad almeno 2 metri al di sopra del nuovo piano di sormonto del pennello idraulico.  </w:t>
      </w:r>
    </w:p>
    <w:p w:rsidR="002D2929" w:rsidRDefault="00E1544C" w:rsidP="00E1544C">
      <w:pPr>
        <w:pStyle w:val="Normale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Per la fruizione </w:t>
      </w:r>
      <w:r w:rsidR="002D2929">
        <w:rPr>
          <w:rFonts w:ascii="Arial" w:hAnsi="Arial" w:cs="Arial"/>
          <w:color w:val="000000"/>
          <w:sz w:val="22"/>
          <w:szCs w:val="22"/>
        </w:rPr>
        <w:t>pubblica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2D2929">
        <w:rPr>
          <w:rFonts w:ascii="Arial" w:hAnsi="Arial" w:cs="Arial"/>
          <w:color w:val="000000"/>
          <w:sz w:val="22"/>
          <w:szCs w:val="22"/>
        </w:rPr>
        <w:t>di dette aree, per l’accesso in caso di emergenza per soccorsi e incendi e per il mantenimento delle eventuali attività agricole è necessario che sia prevista la manutenzione dei guadi nel tempo.</w:t>
      </w:r>
    </w:p>
    <w:p w:rsidR="002D2929" w:rsidRDefault="002D2929" w:rsidP="00E1544C">
      <w:pPr>
        <w:pStyle w:val="NormaleWeb"/>
        <w:rPr>
          <w:rFonts w:ascii="Arial" w:hAnsi="Arial" w:cs="Arial"/>
          <w:color w:val="000000"/>
          <w:sz w:val="22"/>
          <w:szCs w:val="22"/>
        </w:rPr>
      </w:pPr>
    </w:p>
    <w:p w:rsidR="00E1544C" w:rsidRPr="00E1544C" w:rsidRDefault="002D2929" w:rsidP="00E1544C">
      <w:pPr>
        <w:pStyle w:val="Normale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</w:t>
      </w:r>
    </w:p>
    <w:sectPr w:rsidR="00E1544C" w:rsidRPr="00E154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A0EAC13"/>
    <w:multiLevelType w:val="hybridMultilevel"/>
    <w:tmpl w:val="EC53DEC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09163F2"/>
    <w:multiLevelType w:val="hybridMultilevel"/>
    <w:tmpl w:val="5F00FC34"/>
    <w:lvl w:ilvl="0" w:tplc="2654B2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E1"/>
    <w:rsid w:val="000012EB"/>
    <w:rsid w:val="000164AF"/>
    <w:rsid w:val="0009116C"/>
    <w:rsid w:val="000C6D89"/>
    <w:rsid w:val="000E2630"/>
    <w:rsid w:val="000F0337"/>
    <w:rsid w:val="000F2488"/>
    <w:rsid w:val="001B5BE0"/>
    <w:rsid w:val="0021347C"/>
    <w:rsid w:val="00266CB7"/>
    <w:rsid w:val="002D2929"/>
    <w:rsid w:val="002E4BBA"/>
    <w:rsid w:val="003525C6"/>
    <w:rsid w:val="00361B79"/>
    <w:rsid w:val="003E216F"/>
    <w:rsid w:val="003E4116"/>
    <w:rsid w:val="004C0481"/>
    <w:rsid w:val="004F14FE"/>
    <w:rsid w:val="005167AE"/>
    <w:rsid w:val="00581FFF"/>
    <w:rsid w:val="00641A9D"/>
    <w:rsid w:val="00647E32"/>
    <w:rsid w:val="006B2A10"/>
    <w:rsid w:val="00745E21"/>
    <w:rsid w:val="007D28F2"/>
    <w:rsid w:val="008D5E40"/>
    <w:rsid w:val="00910FF7"/>
    <w:rsid w:val="0092130C"/>
    <w:rsid w:val="00921EBE"/>
    <w:rsid w:val="009A3BC5"/>
    <w:rsid w:val="009D40D7"/>
    <w:rsid w:val="009D54F7"/>
    <w:rsid w:val="00A01C3E"/>
    <w:rsid w:val="00A0385A"/>
    <w:rsid w:val="00AA66E1"/>
    <w:rsid w:val="00B138BA"/>
    <w:rsid w:val="00B15B09"/>
    <w:rsid w:val="00B669DF"/>
    <w:rsid w:val="00C00F65"/>
    <w:rsid w:val="00C51E5A"/>
    <w:rsid w:val="00CC5AC7"/>
    <w:rsid w:val="00CC6CA3"/>
    <w:rsid w:val="00E1544C"/>
    <w:rsid w:val="00E472C8"/>
    <w:rsid w:val="00EB7B26"/>
    <w:rsid w:val="00F55501"/>
    <w:rsid w:val="00F673E1"/>
    <w:rsid w:val="00F93F0E"/>
    <w:rsid w:val="00FC76D4"/>
    <w:rsid w:val="00FD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D2119B-80C3-4B37-83A3-C69D0F8A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CC5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4F14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21EB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D5E4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D5E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800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1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3692</Characters>
  <Application>Microsoft Office Word</Application>
  <DocSecurity>4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Sfulcini Daniele - Direttore</cp:lastModifiedBy>
  <cp:revision>2</cp:revision>
  <dcterms:created xsi:type="dcterms:W3CDTF">2024-09-06T08:16:00Z</dcterms:created>
  <dcterms:modified xsi:type="dcterms:W3CDTF">2024-09-06T08:16:00Z</dcterms:modified>
</cp:coreProperties>
</file>