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PPRD South 3 Regional Workshops on “Towards a common regional approach for the development of national capacities of risk monitoring, early detection of critical situations, set up and management of early warning systems (EWS) and elaboration of emergency 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plans including procedures for inter-agency operational management support”.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22-24 October 2019</w:t>
      </w: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smallCaps/>
          <w:color w:val="000000"/>
          <w:u w:val="single"/>
        </w:rPr>
        <w:t xml:space="preserve">Italian Civil Protection Department, Rome 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>(DRAFT)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>Objectives</w:t>
      </w: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Regional Workshop will contribute to:</w:t>
      </w:r>
    </w:p>
    <w:p w:rsidR="00C74165" w:rsidRDefault="00F013A9" w:rsidP="00F01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increase the risk monitoring, early warning systems (EWS) management and emergency planning capacities in the PPRD South partner Countries</w:t>
      </w:r>
    </w:p>
    <w:p w:rsidR="00C74165" w:rsidRDefault="00F013A9" w:rsidP="00F01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identify, together with stakeholders a common regional approach and possible national/sub-regional actions on risk mo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nitoring, EWS and emergency planning </w:t>
      </w:r>
    </w:p>
    <w:p w:rsidR="00C74165" w:rsidRDefault="00F013A9" w:rsidP="00F01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make available existing knowledge and expertise on risk monitoring, EWS and emergency planning</w:t>
      </w:r>
    </w:p>
    <w:p w:rsidR="00C74165" w:rsidRDefault="00F013A9" w:rsidP="00F01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defining national/sub-regional work-plans for PPRD South 3 supported actions in this sector.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>Expected Participants</w:t>
      </w: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Civil 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rotection officers and representatives of scientific bodies (Meteorological Authority, Water Authority, Hydrogeological Risk Monitoring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Center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in charge of real time hydrogeological and hydraulic risk assessment, risk monitoring, emergency planning.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lastRenderedPageBreak/>
        <w:t>Age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>nda</w:t>
      </w: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21 October 2019</w:t>
      </w: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Travel to Rome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22 October 2019</w:t>
      </w:r>
    </w:p>
    <w:p w:rsidR="00C74165" w:rsidRDefault="00F013A9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NH Collection Roma Centro, Via </w:t>
      </w:r>
      <w:proofErr w:type="spellStart"/>
      <w:r>
        <w:rPr>
          <w:rFonts w:ascii="Arial" w:eastAsia="Arial" w:hAnsi="Arial" w:cs="Arial"/>
          <w:b/>
          <w:smallCaps/>
          <w:color w:val="000000"/>
        </w:rPr>
        <w:t>dei</w:t>
      </w:r>
      <w:proofErr w:type="spellEnd"/>
      <w:r>
        <w:rPr>
          <w:rFonts w:ascii="Arial" w:eastAsia="Arial" w:hAnsi="Arial" w:cs="Arial"/>
          <w:b/>
          <w:smallCaps/>
          <w:color w:val="000000"/>
        </w:rPr>
        <w:t xml:space="preserve"> Gracchi 324, Roma</w:t>
      </w:r>
    </w:p>
    <w:p w:rsidR="00C74165" w:rsidRDefault="00C74165" w:rsidP="00F013A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6"/>
      </w:tblGrid>
      <w:tr w:rsidR="00C741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9.00-9.15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9.15-9.30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9.30-10.00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10.00-10.30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10.30-11.00    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11.00-11.30 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11.30-12.00               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Welcome and Introduction to the workshop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Giovanni De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Siervo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Head of the International Relations and Activities Unit, DPC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Carlo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Cacciamani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Head of the “Centro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Funzionale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Centrale”, DPC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Round table presentation of the participants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Session 1: Setting the scene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 Italian Civil Protection Department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Giovanni De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Siervo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Head of the International Relations and Activities Unit, DPC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Introduction to the hydrogeological and hydraulic risk: structural and non-structural prevention measures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Duro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 Fabio Santamaria,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Ufficio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PRE, DPC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 EU Floods Directive: the European regulatory framework for hydrogeological and hydraulic risk management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Paola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Bertuccioli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 Flavia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Massimi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Ufficio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PRE, DPC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Coffee Break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 National Early Warning Sys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 in the framework of the Italian Civil Protection Service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Gianfranco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Vulpiani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Ufficio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PRE, DPC</w:t>
            </w:r>
          </w:p>
        </w:tc>
      </w:tr>
      <w:tr w:rsidR="00C741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12.00-12.30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Utilisation of satellite data for flood risk management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Silvia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Puca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Ufficio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PRE, DPC</w:t>
            </w:r>
          </w:p>
        </w:tc>
      </w:tr>
      <w:tr w:rsidR="00C741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C741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14.00-14.30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14.30-15.00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15.00-15.45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15.45-16.15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16:15- 17.30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Session 2.1: Flood risk management tools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Key elements of an early warning system for the hydrogeological and hydraulic risk: from early detection to early alert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Cacciamani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DPC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Weather forecasts for civil protection purposes, from the meteorological phenomenon to the impact on the territory. The approach and tools of the Italian Civil Protection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Sediari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 Andrea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Araneo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Ufficio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PRE, DPC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Flash flood monitoring and foreca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sting systems in the Liguria region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Turato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Civil Protection Liguria Region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Coffee Break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Opearating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flood forecasting systems in real emergencies from the Italian regions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Tevere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river: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Nicola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Umbria Region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 river: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Pavan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AIPO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Agenzia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Interregionale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Po)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 of day 1</w:t>
            </w: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74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lastRenderedPageBreak/>
              <w:t>23 October 2019</w:t>
            </w:r>
          </w:p>
          <w:p w:rsidR="00C74165" w:rsidRDefault="00F013A9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Italian Civil protection Department, </w:t>
            </w:r>
            <w:proofErr w:type="spellStart"/>
            <w:r>
              <w:rPr>
                <w:rFonts w:ascii="Arial" w:eastAsia="Arial" w:hAnsi="Arial" w:cs="Arial"/>
                <w:b/>
                <w:smallCaps/>
                <w:color w:val="000000"/>
              </w:rPr>
              <w:t>Opearational</w:t>
            </w:r>
            <w:proofErr w:type="spellEnd"/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Headquarters, Via </w:t>
            </w:r>
            <w:proofErr w:type="spellStart"/>
            <w:r>
              <w:rPr>
                <w:rFonts w:ascii="Arial" w:eastAsia="Arial" w:hAnsi="Arial" w:cs="Arial"/>
                <w:b/>
                <w:smallCaps/>
                <w:color w:val="000000"/>
              </w:rPr>
              <w:t>Vitorchiano</w:t>
            </w:r>
            <w:proofErr w:type="spellEnd"/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4, Rome</w:t>
            </w:r>
          </w:p>
          <w:tbl>
            <w:tblPr>
              <w:tblStyle w:val="a0"/>
              <w:tblW w:w="89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3"/>
              <w:gridCol w:w="7493"/>
            </w:tblGrid>
            <w:tr w:rsidR="00C74165"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9.00-9.30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9.30-10.10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10.10-10.40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10.40-11.00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11.00-11.30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11.30-12.30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12.30-13.00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13.00-14.00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6"/>
                      <w:szCs w:val="6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14.00-14.50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14.50-15.40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15.40-16.00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16.00-16.30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Session 2.2: Flood risk management tools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Using high-resolution precipitation data from cellular networks for operational flood forecasting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Amir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Givati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, Director of flood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modeling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ClimaCell</w:t>
                  </w:r>
                  <w:proofErr w:type="spellEnd"/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Elaboration of flood emergency response plans linked with early warning systems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David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Fabi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, Head of the Operational Emergency Support Service, DPC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Tools for forecasting urban flooding in a changing land use and climate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Amir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Givati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, Director of flood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modeling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ClimaCell</w:t>
                  </w:r>
                  <w:proofErr w:type="spellEnd"/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Session 3: Case studies of flood emergencies 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Flood Emergency Management: Experiences from the Mediterranean countries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Morocco, Algeria (10 minutes each)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2" w:firstLine="0"/>
                    <w:jc w:val="both"/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Coffee Break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Flood Emergency Management: Experiences from the Mediterranean countries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Tunisia, Egypt, Israel, Palestine, Lebanon, Jordan, Lebanon, Jordan (10 minutes each)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The role of Mayors in preparing the population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to cope with flood alerts: case study from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Bastiglia</w:t>
                  </w:r>
                  <w:proofErr w:type="spellEnd"/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Francesca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Silvestri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, Mayor of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Bastiglia</w:t>
                  </w:r>
                  <w:proofErr w:type="spellEnd"/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Lunch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Flood experiences from European Countries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Commandant Franck FIORELLI, Departmental Fire and Rescue Service, Maritimes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Alpes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Department, France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Population awareness and the transmission of the alert to the population: techniques and tools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Maria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Ángeles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Herradon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Garcia, Head of the Communication Sector, General Directorate of Civil Protection and Emergencies, Spain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Coffee Break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The “Io non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risch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io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” Awareness Campaign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Stefano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Vallari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, Civil Protection Volunteers Service, DPC</w:t>
                  </w:r>
                </w:p>
              </w:tc>
            </w:tr>
            <w:tr w:rsidR="00C74165"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16.30-18.00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Practical session: flood forecasting models and information for risk assessment and risk monitoring -  Visit to the Centro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Funzionale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Centrale, DPC</w:t>
                  </w:r>
                </w:p>
              </w:tc>
            </w:tr>
            <w:tr w:rsidR="00C74165"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20.30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Social dinner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165">
              <w:tc>
                <w:tcPr>
                  <w:tcW w:w="8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smallCaps/>
                      <w:color w:val="000000"/>
                    </w:rPr>
                    <w:t>24 October 2019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smallCaps/>
                      <w:color w:val="000000"/>
                    </w:rPr>
                    <w:t xml:space="preserve">Italian Civil protection Department,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mallCaps/>
                      <w:color w:val="000000"/>
                    </w:rPr>
                    <w:t>Opearational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mallCaps/>
                      <w:color w:val="000000"/>
                    </w:rPr>
                    <w:t xml:space="preserve"> Headquarters, Via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mallCaps/>
                      <w:color w:val="000000"/>
                    </w:rPr>
                    <w:t>Vitorchiano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mallCaps/>
                      <w:color w:val="000000"/>
                    </w:rPr>
                    <w:t xml:space="preserve"> 4, Rome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165"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9.00-11.30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11.30-12.30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12.30-13.00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13.00-14.00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14.00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45"/>
                    </w:tabs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Practical session: DEWETRA World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Introduction to DEWETRA World -  Practical exercise on the utilisation of DEWETRA World -  Proposal of utilization of DEWETRA World in the national/regional contexts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Angela Corina, DPC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Coffee Break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Round table discussion: what can we do together under PPRD South on flood risk management?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Discussion and definition of possible actions for developing national capacities for using the tools and models illustrated during the workshop with the support by P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PRD South.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Moderator: Carlo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Cacciamani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, DPC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color w:val="000000"/>
                      <w:sz w:val="8"/>
                      <w:szCs w:val="8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Wrap-up and conclusions</w:t>
                  </w:r>
                </w:p>
                <w:p w:rsidR="00C74165" w:rsidRDefault="00C74165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color w:val="000000"/>
                      <w:sz w:val="8"/>
                      <w:szCs w:val="8"/>
                    </w:rPr>
                  </w:pP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Lunch</w:t>
                  </w:r>
                </w:p>
                <w:p w:rsidR="00C74165" w:rsidRDefault="00F013A9" w:rsidP="00F0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Departure to airport or to hotel</w:t>
                  </w:r>
                </w:p>
              </w:tc>
            </w:tr>
          </w:tbl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74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74165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741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C74165" w:rsidRDefault="00C74165" w:rsidP="00F01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4165" w:rsidRDefault="00C74165" w:rsidP="00C741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C74165">
      <w:headerReference w:type="default" r:id="rId8"/>
      <w:footerReference w:type="default" r:id="rId9"/>
      <w:pgSz w:w="11906" w:h="16838"/>
      <w:pgMar w:top="720" w:right="720" w:bottom="720" w:left="720" w:header="426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3A9" w:rsidP="00F013A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F013A9" w:rsidP="00F013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5" w:rsidRDefault="00F013A9" w:rsidP="00F013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Gill Sans" w:eastAsia="Gill Sans" w:hAnsi="Gill Sans" w:cs="Gill Sans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-479424</wp:posOffset>
          </wp:positionH>
          <wp:positionV relativeFrom="paragraph">
            <wp:posOffset>257175</wp:posOffset>
          </wp:positionV>
          <wp:extent cx="762000" cy="762000"/>
          <wp:effectExtent l="0" t="0" r="0" b="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4443730</wp:posOffset>
          </wp:positionH>
          <wp:positionV relativeFrom="paragraph">
            <wp:posOffset>3113405</wp:posOffset>
          </wp:positionV>
          <wp:extent cx="1638300" cy="307340"/>
          <wp:effectExtent l="0" t="0" r="0" b="0"/>
          <wp:wrapNone/>
          <wp:docPr id="10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0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165" w:rsidRDefault="00F013A9" w:rsidP="00F013A9">
    <w:pPr>
      <w:pBdr>
        <w:top w:val="nil"/>
        <w:left w:val="nil"/>
        <w:bottom w:val="nil"/>
        <w:right w:val="nil"/>
        <w:between w:val="nil"/>
      </w:pBdr>
      <w:tabs>
        <w:tab w:val="left" w:pos="2528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</w:t>
    </w:r>
    <w:r>
      <w:rPr>
        <w:b/>
        <w:noProof/>
        <w:color w:val="000000"/>
        <w:sz w:val="21"/>
        <w:szCs w:val="21"/>
        <w:lang w:val="it-IT" w:eastAsia="it-IT"/>
      </w:rPr>
      <w:drawing>
        <wp:inline distT="0" distB="0" distL="114300" distR="114300">
          <wp:extent cx="772795" cy="618490"/>
          <wp:effectExtent l="0" t="0" r="0" 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79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</w:t>
    </w:r>
    <w:r>
      <w:rPr>
        <w:noProof/>
        <w:color w:val="000000"/>
        <w:sz w:val="20"/>
        <w:szCs w:val="20"/>
        <w:lang w:val="it-IT" w:eastAsia="it-IT"/>
      </w:rPr>
      <w:drawing>
        <wp:inline distT="0" distB="0" distL="114300" distR="114300">
          <wp:extent cx="1137920" cy="652145"/>
          <wp:effectExtent l="0" t="0" r="0" b="0"/>
          <wp:docPr id="10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92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  <w:r>
      <w:rPr>
        <w:noProof/>
        <w:color w:val="000000"/>
        <w:sz w:val="20"/>
        <w:szCs w:val="20"/>
        <w:lang w:val="it-IT" w:eastAsia="it-IT"/>
      </w:rPr>
      <w:drawing>
        <wp:inline distT="0" distB="0" distL="114300" distR="114300">
          <wp:extent cx="704215" cy="760730"/>
          <wp:effectExtent l="0" t="0" r="0" b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5" cy="760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</w:t>
    </w:r>
    <w:r>
      <w:rPr>
        <w:b/>
        <w:noProof/>
        <w:color w:val="000000"/>
        <w:sz w:val="20"/>
        <w:szCs w:val="20"/>
        <w:lang w:val="it-IT" w:eastAsia="it-IT"/>
      </w:rPr>
      <w:drawing>
        <wp:inline distT="0" distB="0" distL="114300" distR="114300">
          <wp:extent cx="1001395" cy="566420"/>
          <wp:effectExtent l="0" t="0" r="0" b="0"/>
          <wp:docPr id="103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395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 xml:space="preserve">  </w:t>
    </w:r>
    <w:r>
      <w:rPr>
        <w:color w:val="000000"/>
        <w:sz w:val="20"/>
        <w:szCs w:val="20"/>
      </w:rPr>
      <w:t xml:space="preserve">   </w:t>
    </w:r>
    <w:r>
      <w:rPr>
        <w:noProof/>
        <w:color w:val="000000"/>
        <w:sz w:val="20"/>
        <w:szCs w:val="20"/>
        <w:lang w:val="it-IT" w:eastAsia="it-IT"/>
      </w:rPr>
      <w:drawing>
        <wp:inline distT="0" distB="0" distL="114300" distR="114300">
          <wp:extent cx="1000125" cy="631190"/>
          <wp:effectExtent l="0" t="0" r="0" b="0"/>
          <wp:docPr id="1035" name="image6.png" descr="Vignette_logo_3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Vignette_logo_3l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3A9" w:rsidP="00F013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F013A9" w:rsidP="00F013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5" w:rsidRDefault="00F013A9" w:rsidP="00F013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34EA2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4538345</wp:posOffset>
          </wp:positionH>
          <wp:positionV relativeFrom="paragraph">
            <wp:posOffset>-160654</wp:posOffset>
          </wp:positionV>
          <wp:extent cx="1487805" cy="591185"/>
          <wp:effectExtent l="0" t="0" r="0" b="0"/>
          <wp:wrapSquare wrapText="bothSides" distT="0" distB="0" distL="114300" distR="114300"/>
          <wp:docPr id="103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-32384</wp:posOffset>
          </wp:positionH>
          <wp:positionV relativeFrom="paragraph">
            <wp:posOffset>-38734</wp:posOffset>
          </wp:positionV>
          <wp:extent cx="737870" cy="495300"/>
          <wp:effectExtent l="0" t="0" r="0" b="0"/>
          <wp:wrapSquare wrapText="bothSides" distT="0" distB="0" distL="114300" distR="114300"/>
          <wp:docPr id="103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7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165" w:rsidRDefault="00C74165" w:rsidP="00F013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Garamond" w:eastAsia="Garamond" w:hAnsi="Garamond" w:cs="Garamond"/>
        <w:color w:val="000000"/>
        <w:sz w:val="18"/>
        <w:szCs w:val="18"/>
      </w:rPr>
    </w:pPr>
  </w:p>
  <w:p w:rsidR="00C74165" w:rsidRDefault="00C74165" w:rsidP="00F013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Garamond" w:eastAsia="Garamond" w:hAnsi="Garamond" w:cs="Garamond"/>
        <w:color w:val="000000"/>
        <w:sz w:val="18"/>
        <w:szCs w:val="18"/>
      </w:rPr>
    </w:pPr>
  </w:p>
  <w:p w:rsidR="00C74165" w:rsidRDefault="00C74165" w:rsidP="00F013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93D"/>
    <w:multiLevelType w:val="multilevel"/>
    <w:tmpl w:val="8C506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165"/>
    <w:rsid w:val="00C74165"/>
    <w:rsid w:val="00F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Titolo1">
    <w:name w:val="heading 1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pacing w:after="0" w:line="240" w:lineRule="auto"/>
    </w:pPr>
    <w:rPr>
      <w:sz w:val="20"/>
      <w:szCs w:val="20"/>
      <w:lang w:val="fr-FR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val="fr-FR"/>
    </w:rPr>
  </w:style>
  <w:style w:type="paragraph" w:styleId="Pidipagina">
    <w:name w:val="footer"/>
    <w:basedOn w:val="Normale"/>
    <w:qFormat/>
    <w:pPr>
      <w:spacing w:after="0" w:line="240" w:lineRule="auto"/>
    </w:pPr>
    <w:rPr>
      <w:sz w:val="20"/>
      <w:szCs w:val="20"/>
      <w:lang w:val="fr-FR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fr-FR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ondomedio1-Colore11">
    <w:name w:val="Sfondo medio 1 - Colore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fr-FR"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fr-FR"/>
    </w:rPr>
  </w:style>
  <w:style w:type="paragraph" w:customStyle="1" w:styleId="Grigliamedia1-Colore21">
    <w:name w:val="Griglia media 1 - Colore 21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stocommento">
    <w:name w:val="annotation text"/>
    <w:basedOn w:val="Normale"/>
    <w:qFormat/>
    <w:pPr>
      <w:spacing w:line="240" w:lineRule="auto"/>
    </w:pPr>
    <w:rPr>
      <w:sz w:val="20"/>
      <w:szCs w:val="20"/>
      <w:lang w:val="fr-FR"/>
    </w:rPr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  <w:lang w:val="fr-FR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fr-FR" w:eastAsia="fr-FR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fr-F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fr-FR" w:eastAsia="en-US"/>
    </w:rPr>
  </w:style>
  <w:style w:type="paragraph" w:styleId="Testonotaapidipagina">
    <w:name w:val="footnote text"/>
    <w:basedOn w:val="Normale"/>
    <w:qFormat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reformattatoHTML">
    <w:name w:val="HTML Preformatted"/>
    <w:basedOn w:val="Normale"/>
    <w:qFormat/>
    <w:pPr>
      <w:spacing w:after="0" w:line="240" w:lineRule="auto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fr-FR" w:eastAsia="fr-FR"/>
    </w:rPr>
  </w:style>
  <w:style w:type="character" w:customStyle="1" w:styleId="Listecouleur-Accent1CarBulletPointsCarListeParagrafCarCitationListCar">
    <w:name w:val="Liste couleur - Accent 1 Car;Bullet Points Car;Liste Paragraf Car;Citation List Car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Grigliachiara-Colore3">
    <w:name w:val="Light Grid Accent 3"/>
    <w:basedOn w:val="Tabellanormale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  <w:tblPr>
      <w:tblStyleRowBandSize w:val="1"/>
      <w:tblStyleColBandSize w:val="1"/>
    </w:tblPr>
  </w:style>
  <w:style w:type="character" w:customStyle="1" w:styleId="tlid-translation">
    <w:name w:val="tlid-translatio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MS Gothic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Formal1">
    <w:name w:val="Formal1"/>
    <w:pPr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eastAsia="fr-FR"/>
    </w:rPr>
  </w:style>
  <w:style w:type="paragraph" w:customStyle="1" w:styleId="Formal2">
    <w:name w:val="Formal2"/>
    <w:basedOn w:val="Formal1"/>
    <w:rPr>
      <w:rFonts w:ascii="Arial" w:hAnsi="Arial" w:cs="Arial"/>
      <w:b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pktextbpk-text2nhso">
    <w:name w:val="bpktext_bpk-text__2nhs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Titolo1">
    <w:name w:val="heading 1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pacing w:after="0" w:line="240" w:lineRule="auto"/>
    </w:pPr>
    <w:rPr>
      <w:sz w:val="20"/>
      <w:szCs w:val="20"/>
      <w:lang w:val="fr-FR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val="fr-FR"/>
    </w:rPr>
  </w:style>
  <w:style w:type="paragraph" w:styleId="Pidipagina">
    <w:name w:val="footer"/>
    <w:basedOn w:val="Normale"/>
    <w:qFormat/>
    <w:pPr>
      <w:spacing w:after="0" w:line="240" w:lineRule="auto"/>
    </w:pPr>
    <w:rPr>
      <w:sz w:val="20"/>
      <w:szCs w:val="20"/>
      <w:lang w:val="fr-FR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fr-FR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ondomedio1-Colore11">
    <w:name w:val="Sfondo medio 1 - Colore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fr-FR"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fr-FR"/>
    </w:rPr>
  </w:style>
  <w:style w:type="paragraph" w:customStyle="1" w:styleId="Grigliamedia1-Colore21">
    <w:name w:val="Griglia media 1 - Colore 21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stocommento">
    <w:name w:val="annotation text"/>
    <w:basedOn w:val="Normale"/>
    <w:qFormat/>
    <w:pPr>
      <w:spacing w:line="240" w:lineRule="auto"/>
    </w:pPr>
    <w:rPr>
      <w:sz w:val="20"/>
      <w:szCs w:val="20"/>
      <w:lang w:val="fr-FR"/>
    </w:rPr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  <w:lang w:val="fr-FR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fr-FR" w:eastAsia="fr-FR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fr-F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fr-FR" w:eastAsia="en-US"/>
    </w:rPr>
  </w:style>
  <w:style w:type="paragraph" w:styleId="Testonotaapidipagina">
    <w:name w:val="footnote text"/>
    <w:basedOn w:val="Normale"/>
    <w:qFormat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reformattatoHTML">
    <w:name w:val="HTML Preformatted"/>
    <w:basedOn w:val="Normale"/>
    <w:qFormat/>
    <w:pPr>
      <w:spacing w:after="0" w:line="240" w:lineRule="auto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fr-FR" w:eastAsia="fr-FR"/>
    </w:rPr>
  </w:style>
  <w:style w:type="character" w:customStyle="1" w:styleId="Listecouleur-Accent1CarBulletPointsCarListeParagrafCarCitationListCar">
    <w:name w:val="Liste couleur - Accent 1 Car;Bullet Points Car;Liste Paragraf Car;Citation List Car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Grigliachiara-Colore3">
    <w:name w:val="Light Grid Accent 3"/>
    <w:basedOn w:val="Tabellanormale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  <w:tblPr>
      <w:tblStyleRowBandSize w:val="1"/>
      <w:tblStyleColBandSize w:val="1"/>
    </w:tblPr>
  </w:style>
  <w:style w:type="character" w:customStyle="1" w:styleId="tlid-translation">
    <w:name w:val="tlid-translatio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MS Gothic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Formal1">
    <w:name w:val="Formal1"/>
    <w:pPr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eastAsia="fr-FR"/>
    </w:rPr>
  </w:style>
  <w:style w:type="paragraph" w:customStyle="1" w:styleId="Formal2">
    <w:name w:val="Formal2"/>
    <w:basedOn w:val="Formal1"/>
    <w:rPr>
      <w:rFonts w:ascii="Arial" w:hAnsi="Arial" w:cs="Arial"/>
      <w:b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pktextbpk-text2nhso">
    <w:name w:val="bpktext_bpk-text__2nhs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Glotin</dc:creator>
  <cp:lastModifiedBy>campaninisandro</cp:lastModifiedBy>
  <cp:revision>2</cp:revision>
  <dcterms:created xsi:type="dcterms:W3CDTF">2019-10-21T07:13:00Z</dcterms:created>
  <dcterms:modified xsi:type="dcterms:W3CDTF">2019-10-21T07:13:00Z</dcterms:modified>
</cp:coreProperties>
</file>